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6AC290">
      <w:pPr>
        <w:pStyle w:val="2"/>
        <w:shd w:val="clear" w:color="auto" w:fill="FFFFFF"/>
        <w:spacing w:before="0" w:beforeAutospacing="0" w:after="0" w:afterAutospacing="0" w:line="600" w:lineRule="exact"/>
        <w:rPr>
          <w:rFonts w:hint="default" w:ascii="Times New Roman" w:hAnsi="Times New Roman" w:eastAsia="方正黑体_GBK" w:cs="Times New Roman"/>
          <w:b w:val="0"/>
          <w:bCs w:val="0"/>
          <w:kern w:val="2"/>
          <w:sz w:val="32"/>
          <w:szCs w:val="32"/>
        </w:rPr>
      </w:pPr>
      <w:r>
        <w:rPr>
          <w:rFonts w:hint="default" w:ascii="Times New Roman" w:hAnsi="Times New Roman" w:eastAsia="方正黑体_GBK" w:cs="Times New Roman"/>
          <w:b w:val="0"/>
          <w:bCs w:val="0"/>
          <w:kern w:val="2"/>
          <w:sz w:val="32"/>
          <w:szCs w:val="32"/>
        </w:rPr>
        <w:t>附件2</w:t>
      </w:r>
    </w:p>
    <w:p w14:paraId="5BF25FE5">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方正小标宋_GBK" w:hAnsi="方正小标宋_GBK" w:eastAsia="方正小标宋_GBK" w:cs="方正小标宋_GBK"/>
          <w:b w:val="0"/>
          <w:bCs/>
          <w:kern w:val="2"/>
          <w:sz w:val="44"/>
          <w:szCs w:val="44"/>
        </w:rPr>
      </w:pPr>
      <w:bookmarkStart w:id="0" w:name="_GoBack"/>
      <w:r>
        <w:rPr>
          <w:rFonts w:hint="eastAsia" w:ascii="方正小标宋_GBK" w:hAnsi="方正小标宋_GBK" w:eastAsia="方正小标宋_GBK" w:cs="方正小标宋_GBK"/>
          <w:b w:val="0"/>
          <w:bCs/>
          <w:kern w:val="2"/>
          <w:sz w:val="44"/>
          <w:szCs w:val="44"/>
        </w:rPr>
        <w:t>2025年度广州市知识产权公共服务惠企</w:t>
      </w:r>
    </w:p>
    <w:p w14:paraId="223EDDE6">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方正小标宋_GBK" w:hAnsi="方正小标宋_GBK" w:eastAsia="方正小标宋_GBK" w:cs="方正小标宋_GBK"/>
          <w:b w:val="0"/>
          <w:bCs/>
          <w:kern w:val="2"/>
          <w:sz w:val="44"/>
          <w:szCs w:val="44"/>
        </w:rPr>
      </w:pPr>
      <w:r>
        <w:rPr>
          <w:rFonts w:hint="eastAsia" w:ascii="方正小标宋_GBK" w:hAnsi="方正小标宋_GBK" w:eastAsia="方正小标宋_GBK" w:cs="方正小标宋_GBK"/>
          <w:b w:val="0"/>
          <w:bCs/>
          <w:kern w:val="2"/>
          <w:sz w:val="44"/>
          <w:szCs w:val="44"/>
        </w:rPr>
        <w:t>行动优秀案例</w:t>
      </w:r>
    </w:p>
    <w:bookmarkEnd w:id="0"/>
    <w:p w14:paraId="21205336">
      <w:pPr>
        <w:pStyle w:val="2"/>
        <w:shd w:val="clear" w:color="auto" w:fill="FFFFFF"/>
        <w:spacing w:before="0" w:beforeAutospacing="0" w:after="0" w:afterAutospacing="0"/>
        <w:outlineLvl w:val="0"/>
        <w:rPr>
          <w:rFonts w:hint="eastAsia" w:ascii="黑体" w:hAnsi="黑体" w:eastAsia="黑体" w:cs="Times New Roman"/>
          <w:b/>
          <w:kern w:val="2"/>
          <w:sz w:val="28"/>
          <w:szCs w:val="22"/>
        </w:rPr>
      </w:pPr>
    </w:p>
    <w:p w14:paraId="4583411D">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textAlignment w:val="auto"/>
        <w:outlineLvl w:val="0"/>
        <w:rPr>
          <w:rFonts w:hint="eastAsia" w:ascii="Times New Roman" w:hAnsi="Times New Roman" w:eastAsia="方正仿宋_GBK" w:cs="Times New Roman"/>
          <w:b/>
          <w:kern w:val="2"/>
          <w:sz w:val="28"/>
          <w:szCs w:val="22"/>
        </w:rPr>
      </w:pPr>
      <w:r>
        <w:rPr>
          <w:rFonts w:hint="eastAsia" w:ascii="Times New Roman" w:hAnsi="Times New Roman" w:eastAsia="方正仿宋_GBK" w:cs="Times New Roman"/>
          <w:b/>
          <w:kern w:val="2"/>
          <w:sz w:val="28"/>
          <w:szCs w:val="22"/>
        </w:rPr>
        <w:t>案例1：越秀区构建立体化海外知识产权服务工作格局护航企业扬帆出海</w:t>
      </w:r>
    </w:p>
    <w:tbl>
      <w:tblPr>
        <w:tblStyle w:val="4"/>
        <w:tblW w:w="87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7320"/>
      </w:tblGrid>
      <w:tr w14:paraId="3E232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413" w:type="dxa"/>
            <w:tcBorders>
              <w:top w:val="single" w:color="auto" w:sz="4" w:space="0"/>
              <w:left w:val="single" w:color="auto" w:sz="4" w:space="0"/>
              <w:bottom w:val="single" w:color="auto" w:sz="4" w:space="0"/>
              <w:right w:val="single" w:color="auto" w:sz="4" w:space="0"/>
            </w:tcBorders>
            <w:noWrap w:val="0"/>
            <w:vAlign w:val="center"/>
          </w:tcPr>
          <w:p w14:paraId="7E44B4E6">
            <w:pPr>
              <w:jc w:val="center"/>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报送单位</w:t>
            </w:r>
          </w:p>
        </w:tc>
        <w:tc>
          <w:tcPr>
            <w:tcW w:w="7320" w:type="dxa"/>
            <w:tcBorders>
              <w:top w:val="single" w:color="auto" w:sz="4" w:space="0"/>
              <w:left w:val="single" w:color="auto" w:sz="4" w:space="0"/>
              <w:bottom w:val="single" w:color="auto" w:sz="4" w:space="0"/>
              <w:right w:val="single" w:color="auto" w:sz="4" w:space="0"/>
            </w:tcBorders>
            <w:noWrap w:val="0"/>
            <w:vAlign w:val="center"/>
          </w:tcPr>
          <w:p w14:paraId="14223B69">
            <w:pPr>
              <w:jc w:val="left"/>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越秀区市场监督管理局（知识产权局）</w:t>
            </w:r>
          </w:p>
        </w:tc>
      </w:tr>
      <w:tr w14:paraId="5635B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413" w:type="dxa"/>
            <w:tcBorders>
              <w:top w:val="single" w:color="auto" w:sz="4" w:space="0"/>
              <w:left w:val="single" w:color="auto" w:sz="4" w:space="0"/>
              <w:bottom w:val="single" w:color="auto" w:sz="4" w:space="0"/>
              <w:right w:val="single" w:color="auto" w:sz="4" w:space="0"/>
            </w:tcBorders>
            <w:noWrap w:val="0"/>
            <w:vAlign w:val="center"/>
          </w:tcPr>
          <w:p w14:paraId="35F1151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知识产权公共服务机构名称</w:t>
            </w:r>
          </w:p>
        </w:tc>
        <w:tc>
          <w:tcPr>
            <w:tcW w:w="7320" w:type="dxa"/>
            <w:tcBorders>
              <w:top w:val="single" w:color="auto" w:sz="4" w:space="0"/>
              <w:left w:val="single" w:color="auto" w:sz="4" w:space="0"/>
              <w:bottom w:val="single" w:color="auto" w:sz="4" w:space="0"/>
              <w:right w:val="single" w:color="auto" w:sz="4" w:space="0"/>
            </w:tcBorders>
            <w:noWrap w:val="0"/>
            <w:vAlign w:val="center"/>
          </w:tcPr>
          <w:p w14:paraId="516EB837">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广州市越秀区知识产权公共服务中心、国家商标品牌创新创业（广州）基地</w:t>
            </w:r>
          </w:p>
        </w:tc>
      </w:tr>
      <w:tr w14:paraId="19F3A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tcBorders>
              <w:top w:val="single" w:color="auto" w:sz="4" w:space="0"/>
              <w:left w:val="single" w:color="auto" w:sz="4" w:space="0"/>
              <w:bottom w:val="single" w:color="auto" w:sz="4" w:space="0"/>
              <w:right w:val="single" w:color="auto" w:sz="4" w:space="0"/>
            </w:tcBorders>
            <w:noWrap w:val="0"/>
            <w:vAlign w:val="center"/>
          </w:tcPr>
          <w:p w14:paraId="537A6000">
            <w:pPr>
              <w:jc w:val="center"/>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企业名称</w:t>
            </w:r>
          </w:p>
        </w:tc>
        <w:tc>
          <w:tcPr>
            <w:tcW w:w="7320" w:type="dxa"/>
            <w:tcBorders>
              <w:top w:val="single" w:color="auto" w:sz="4" w:space="0"/>
              <w:left w:val="single" w:color="auto" w:sz="4" w:space="0"/>
              <w:bottom w:val="single" w:color="auto" w:sz="4" w:space="0"/>
              <w:right w:val="single" w:color="auto" w:sz="4" w:space="0"/>
            </w:tcBorders>
            <w:noWrap w:val="0"/>
            <w:vAlign w:val="center"/>
          </w:tcPr>
          <w:p w14:paraId="0FCCFD4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御龙外贸服装城等</w:t>
            </w:r>
          </w:p>
        </w:tc>
      </w:tr>
      <w:tr w14:paraId="6ED8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tcBorders>
              <w:top w:val="single" w:color="auto" w:sz="4" w:space="0"/>
              <w:left w:val="single" w:color="auto" w:sz="4" w:space="0"/>
              <w:bottom w:val="single" w:color="auto" w:sz="4" w:space="0"/>
              <w:right w:val="single" w:color="auto" w:sz="4" w:space="0"/>
            </w:tcBorders>
            <w:noWrap w:val="0"/>
            <w:vAlign w:val="center"/>
          </w:tcPr>
          <w:p w14:paraId="3B8AD2FE">
            <w:pPr>
              <w:jc w:val="center"/>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服务需求</w:t>
            </w:r>
          </w:p>
        </w:tc>
        <w:tc>
          <w:tcPr>
            <w:tcW w:w="7320" w:type="dxa"/>
            <w:tcBorders>
              <w:top w:val="single" w:color="auto" w:sz="4" w:space="0"/>
              <w:left w:val="single" w:color="auto" w:sz="4" w:space="0"/>
              <w:bottom w:val="single" w:color="auto" w:sz="4" w:space="0"/>
              <w:right w:val="single" w:color="auto" w:sz="4" w:space="0"/>
            </w:tcBorders>
            <w:noWrap w:val="0"/>
            <w:vAlign w:val="center"/>
          </w:tcPr>
          <w:p w14:paraId="2CC9BF2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在全球化竞争浪潮中，知识产权已成为企业出海的核心竞争力。广州市越秀区作为粤港澳大湾区核心区、广州商贸中心区，拥有流花服装市场、御龙外贸服装城、美博城等一批辐射全国、链接全球的专业市场，是“中国制造”走向世界的重要窗口。但当前国际环境复杂多变，加之法律制度、语言差异等因素，企业在应对知识产权海外纠纷、商标抢注、侵权、维权方面往往面临高昂成本和实际困难。</w:t>
            </w:r>
          </w:p>
        </w:tc>
      </w:tr>
      <w:tr w14:paraId="55733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413" w:type="dxa"/>
            <w:tcBorders>
              <w:top w:val="single" w:color="auto" w:sz="4" w:space="0"/>
              <w:left w:val="single" w:color="auto" w:sz="4" w:space="0"/>
              <w:bottom w:val="single" w:color="auto" w:sz="4" w:space="0"/>
              <w:right w:val="single" w:color="auto" w:sz="4" w:space="0"/>
            </w:tcBorders>
            <w:noWrap w:val="0"/>
            <w:vAlign w:val="center"/>
          </w:tcPr>
          <w:p w14:paraId="32F07548">
            <w:pPr>
              <w:jc w:val="center"/>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解决方案</w:t>
            </w:r>
          </w:p>
        </w:tc>
        <w:tc>
          <w:tcPr>
            <w:tcW w:w="7320" w:type="dxa"/>
            <w:tcBorders>
              <w:top w:val="single" w:color="auto" w:sz="4" w:space="0"/>
              <w:left w:val="single" w:color="auto" w:sz="4" w:space="0"/>
              <w:bottom w:val="single" w:color="auto" w:sz="4" w:space="0"/>
              <w:right w:val="single" w:color="auto" w:sz="4" w:space="0"/>
            </w:tcBorders>
            <w:noWrap w:val="0"/>
            <w:vAlign w:val="center"/>
          </w:tcPr>
          <w:p w14:paraId="18B2BEBF">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加大商标培育力度；构建品牌发展生态；优化商标全链条服务。</w:t>
            </w:r>
          </w:p>
        </w:tc>
      </w:tr>
      <w:tr w14:paraId="7CBCC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413" w:type="dxa"/>
            <w:tcBorders>
              <w:top w:val="single" w:color="auto" w:sz="4" w:space="0"/>
              <w:left w:val="single" w:color="auto" w:sz="4" w:space="0"/>
              <w:bottom w:val="single" w:color="auto" w:sz="4" w:space="0"/>
              <w:right w:val="single" w:color="auto" w:sz="4" w:space="0"/>
            </w:tcBorders>
            <w:noWrap w:val="0"/>
            <w:vAlign w:val="center"/>
          </w:tcPr>
          <w:p w14:paraId="30B270AF">
            <w:pPr>
              <w:jc w:val="center"/>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服务成效</w:t>
            </w:r>
          </w:p>
        </w:tc>
        <w:tc>
          <w:tcPr>
            <w:tcW w:w="7320" w:type="dxa"/>
            <w:tcBorders>
              <w:top w:val="single" w:color="auto" w:sz="4" w:space="0"/>
              <w:left w:val="single" w:color="auto" w:sz="4" w:space="0"/>
              <w:bottom w:val="single" w:color="auto" w:sz="4" w:space="0"/>
              <w:right w:val="single" w:color="auto" w:sz="4" w:space="0"/>
            </w:tcBorders>
            <w:noWrap w:val="0"/>
            <w:vAlign w:val="top"/>
          </w:tcPr>
          <w:p w14:paraId="60333C6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一是加大商标培育力度。整合国家商标品牌创新创业（广州）基地、广东省知识产权保护中心越秀便民服务处等资源平台，建成全市首个知识产权公共服务中心，引入省市公共服务系统、中知慧海Patsea数据库、国际商标智能查询系统，提供免费检索服务，共办理各项商标业务超2万件，咨询人数超1.8万人次，形成集商标查询、检索、注册、变更、维权、香港问询等为一体的“一站式”服务平台，提高商标注册便利化水平，激发商标注册活力。截至2025年上半年有效商标注册量达17.4万件，连续五年位居全省前列。</w:t>
            </w:r>
          </w:p>
          <w:p w14:paraId="508CCE3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二是构建品牌发展生态。组织岭南集团、广州酒家、胜佳超市、爱富兰等食品、文创、零售领域35个自主商标品牌参加第十五届中国国际商标品牌节暨2025中华品牌商标博览会，并首次荣获中华品牌商标博览会“卓越贡献奖”。协同参展企业与省外企业开展对接洽谈、品牌推介，推动以展招商、扩大合作、资源整合。建成“广东省地理标志产品展区”，推动建设大沙头游船码头广场地理标志驿站，助力“百千万工程”与提升商标品牌融合发展。提高知识产权金融创新力度，帮助国盈医药、胜佳超市、迪慎等企业完成商标质押融资超20亿元。</w:t>
            </w:r>
          </w:p>
          <w:p w14:paraId="54BD0E06">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三是优化商标全链条服务。开展区域内重点商标一对一指导服务，以服务企业“出海”为重点，推动形成《广州市商标品牌指导站建设规范》，推动白马服装市场商标品牌培育指导站规范升级，在御龙市场挂牌全市首个面向“一带一路”的商标品牌培育指导站，建立完善“培育-运用-保护-服务”全链条服务体系，为12家外贸企业提供一对一的维权帮扶和指导。不断提升商标品牌服务能力，对全区59家商标代理机构开展信用评价，6家代理机构入选“2024年度广东省商标代理机构确权榜Top20”。举办海外知识产权培育及保护等培训活动23场，累计覆盖企业超1200人次，引导企业强化品牌战略意识，提升品牌管理能力，让优质品牌“引得进、育得出、守得住”。</w:t>
            </w:r>
          </w:p>
        </w:tc>
      </w:tr>
    </w:tbl>
    <w:p w14:paraId="1E0EC0EA">
      <w:pPr>
        <w:rPr>
          <w:rFonts w:hint="eastAsia" w:ascii="Times New Roman" w:hAnsi="Times New Roman" w:eastAsia="方正仿宋_GBK" w:cs="Times New Roman"/>
          <w:b/>
          <w:kern w:val="2"/>
          <w:sz w:val="28"/>
          <w:szCs w:val="22"/>
        </w:rPr>
      </w:pPr>
      <w:r>
        <w:rPr>
          <w:rFonts w:hint="eastAsia" w:ascii="Times New Roman" w:hAnsi="Times New Roman" w:eastAsia="方正仿宋_GBK" w:cs="Times New Roman"/>
          <w:b/>
          <w:kern w:val="2"/>
          <w:sz w:val="28"/>
          <w:szCs w:val="22"/>
        </w:rPr>
        <w:br w:type="page"/>
      </w:r>
    </w:p>
    <w:p w14:paraId="748FFAEB">
      <w:pPr>
        <w:pStyle w:val="2"/>
        <w:shd w:val="clear" w:color="auto" w:fill="FFFFFF"/>
        <w:spacing w:before="0" w:beforeAutospacing="0" w:after="0" w:afterAutospacing="0"/>
        <w:outlineLvl w:val="0"/>
        <w:rPr>
          <w:rFonts w:hint="eastAsia" w:ascii="Times New Roman" w:hAnsi="Times New Roman" w:eastAsia="方正仿宋_GBK" w:cs="Times New Roman"/>
          <w:b/>
          <w:kern w:val="2"/>
          <w:sz w:val="28"/>
          <w:szCs w:val="22"/>
        </w:rPr>
      </w:pPr>
      <w:r>
        <w:rPr>
          <w:rFonts w:hint="eastAsia" w:ascii="Times New Roman" w:hAnsi="Times New Roman" w:eastAsia="方正仿宋_GBK" w:cs="Times New Roman"/>
          <w:b/>
          <w:kern w:val="2"/>
          <w:sz w:val="28"/>
          <w:szCs w:val="22"/>
        </w:rPr>
        <w:t>案例2：展位特装设计纠纷调解案</w:t>
      </w:r>
    </w:p>
    <w:tbl>
      <w:tblPr>
        <w:tblStyle w:val="4"/>
        <w:tblW w:w="85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7"/>
        <w:gridCol w:w="7375"/>
      </w:tblGrid>
      <w:tr w14:paraId="06D7C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177" w:type="dxa"/>
            <w:tcBorders>
              <w:top w:val="single" w:color="auto" w:sz="4" w:space="0"/>
              <w:left w:val="single" w:color="auto" w:sz="4" w:space="0"/>
              <w:bottom w:val="single" w:color="auto" w:sz="4" w:space="0"/>
              <w:right w:val="single" w:color="auto" w:sz="4" w:space="0"/>
            </w:tcBorders>
            <w:noWrap w:val="0"/>
            <w:vAlign w:val="center"/>
          </w:tcPr>
          <w:p w14:paraId="5CD1E92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报送单位</w:t>
            </w:r>
          </w:p>
        </w:tc>
        <w:tc>
          <w:tcPr>
            <w:tcW w:w="7375" w:type="dxa"/>
            <w:tcBorders>
              <w:top w:val="single" w:color="auto" w:sz="4" w:space="0"/>
              <w:left w:val="single" w:color="auto" w:sz="4" w:space="0"/>
              <w:bottom w:val="single" w:color="auto" w:sz="4" w:space="0"/>
              <w:right w:val="single" w:color="auto" w:sz="4" w:space="0"/>
            </w:tcBorders>
            <w:noWrap w:val="0"/>
            <w:vAlign w:val="center"/>
          </w:tcPr>
          <w:p w14:paraId="08D74B6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海珠区市场监督管理局（知识产权局）</w:t>
            </w:r>
          </w:p>
        </w:tc>
      </w:tr>
      <w:tr w14:paraId="5624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177" w:type="dxa"/>
            <w:tcBorders>
              <w:top w:val="single" w:color="auto" w:sz="4" w:space="0"/>
              <w:left w:val="single" w:color="auto" w:sz="4" w:space="0"/>
              <w:bottom w:val="single" w:color="auto" w:sz="4" w:space="0"/>
              <w:right w:val="single" w:color="auto" w:sz="4" w:space="0"/>
            </w:tcBorders>
            <w:noWrap w:val="0"/>
            <w:vAlign w:val="center"/>
          </w:tcPr>
          <w:p w14:paraId="516B9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知识产权公共服务机构名称</w:t>
            </w:r>
          </w:p>
        </w:tc>
        <w:tc>
          <w:tcPr>
            <w:tcW w:w="7375" w:type="dxa"/>
            <w:tcBorders>
              <w:top w:val="single" w:color="auto" w:sz="4" w:space="0"/>
              <w:left w:val="single" w:color="auto" w:sz="4" w:space="0"/>
              <w:bottom w:val="single" w:color="auto" w:sz="4" w:space="0"/>
              <w:right w:val="single" w:color="auto" w:sz="4" w:space="0"/>
            </w:tcBorders>
            <w:noWrap w:val="0"/>
            <w:vAlign w:val="center"/>
          </w:tcPr>
          <w:p w14:paraId="281E9DB8">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广州市海珠区知识产权公共服务中心（广州市海珠琶洲会展与数字经济知识产权保护中心）</w:t>
            </w:r>
          </w:p>
        </w:tc>
      </w:tr>
      <w:tr w14:paraId="6122D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177" w:type="dxa"/>
            <w:tcBorders>
              <w:top w:val="single" w:color="auto" w:sz="4" w:space="0"/>
              <w:left w:val="single" w:color="auto" w:sz="4" w:space="0"/>
              <w:bottom w:val="single" w:color="auto" w:sz="4" w:space="0"/>
              <w:right w:val="single" w:color="auto" w:sz="4" w:space="0"/>
            </w:tcBorders>
            <w:noWrap w:val="0"/>
            <w:vAlign w:val="center"/>
          </w:tcPr>
          <w:p w14:paraId="04A37C1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企业名称</w:t>
            </w:r>
          </w:p>
        </w:tc>
        <w:tc>
          <w:tcPr>
            <w:tcW w:w="7375" w:type="dxa"/>
            <w:tcBorders>
              <w:top w:val="single" w:color="auto" w:sz="4" w:space="0"/>
              <w:left w:val="single" w:color="auto" w:sz="4" w:space="0"/>
              <w:bottom w:val="single" w:color="auto" w:sz="4" w:space="0"/>
              <w:right w:val="single" w:color="auto" w:sz="4" w:space="0"/>
            </w:tcBorders>
            <w:noWrap w:val="0"/>
            <w:vAlign w:val="center"/>
          </w:tcPr>
          <w:p w14:paraId="675A478E">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上海帝雅文化传播（集团）有限公司、广州丽彦妆生物科技有限公司</w:t>
            </w:r>
          </w:p>
        </w:tc>
      </w:tr>
      <w:tr w14:paraId="0A59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1177" w:type="dxa"/>
            <w:tcBorders>
              <w:top w:val="single" w:color="auto" w:sz="4" w:space="0"/>
              <w:left w:val="single" w:color="auto" w:sz="4" w:space="0"/>
              <w:bottom w:val="single" w:color="auto" w:sz="4" w:space="0"/>
              <w:right w:val="single" w:color="auto" w:sz="4" w:space="0"/>
            </w:tcBorders>
            <w:noWrap w:val="0"/>
            <w:vAlign w:val="center"/>
          </w:tcPr>
          <w:p w14:paraId="21D79F8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服务需求</w:t>
            </w:r>
          </w:p>
        </w:tc>
        <w:tc>
          <w:tcPr>
            <w:tcW w:w="7375" w:type="dxa"/>
            <w:tcBorders>
              <w:top w:val="single" w:color="auto" w:sz="4" w:space="0"/>
              <w:left w:val="single" w:color="auto" w:sz="4" w:space="0"/>
              <w:bottom w:val="single" w:color="auto" w:sz="4" w:space="0"/>
              <w:right w:val="single" w:color="auto" w:sz="4" w:space="0"/>
            </w:tcBorders>
            <w:noWrap w:val="0"/>
            <w:vAlign w:val="center"/>
          </w:tcPr>
          <w:p w14:paraId="4EF26A84">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上海帝雅文化传播（集团）有限公司发现广州丽彦妆生物科技有限公司侵犯其展位特装设计的知识产权，申请维权援助。</w:t>
            </w:r>
          </w:p>
        </w:tc>
      </w:tr>
      <w:tr w14:paraId="3D1EE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177" w:type="dxa"/>
            <w:tcBorders>
              <w:top w:val="single" w:color="auto" w:sz="4" w:space="0"/>
              <w:left w:val="single" w:color="auto" w:sz="4" w:space="0"/>
              <w:bottom w:val="single" w:color="auto" w:sz="4" w:space="0"/>
              <w:right w:val="single" w:color="auto" w:sz="4" w:space="0"/>
            </w:tcBorders>
            <w:noWrap w:val="0"/>
            <w:vAlign w:val="center"/>
          </w:tcPr>
          <w:p w14:paraId="22FB008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解决方案</w:t>
            </w:r>
          </w:p>
        </w:tc>
        <w:tc>
          <w:tcPr>
            <w:tcW w:w="7375" w:type="dxa"/>
            <w:tcBorders>
              <w:top w:val="single" w:color="auto" w:sz="4" w:space="0"/>
              <w:left w:val="single" w:color="auto" w:sz="4" w:space="0"/>
              <w:bottom w:val="single" w:color="auto" w:sz="4" w:space="0"/>
              <w:right w:val="single" w:color="auto" w:sz="4" w:space="0"/>
            </w:tcBorders>
            <w:noWrap w:val="0"/>
            <w:vAlign w:val="center"/>
          </w:tcPr>
          <w:p w14:paraId="11A1F4FF">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本中心以人民调解委员会的名义受理和调解双方的知识产权侵权纠纷并出具调解协议。</w:t>
            </w:r>
          </w:p>
        </w:tc>
      </w:tr>
      <w:tr w14:paraId="44A5E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177" w:type="dxa"/>
            <w:tcBorders>
              <w:top w:val="single" w:color="auto" w:sz="4" w:space="0"/>
              <w:left w:val="single" w:color="auto" w:sz="4" w:space="0"/>
              <w:bottom w:val="single" w:color="auto" w:sz="4" w:space="0"/>
              <w:right w:val="single" w:color="auto" w:sz="4" w:space="0"/>
            </w:tcBorders>
            <w:noWrap w:val="0"/>
            <w:vAlign w:val="center"/>
          </w:tcPr>
          <w:p w14:paraId="4C35C2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服务成效</w:t>
            </w:r>
          </w:p>
        </w:tc>
        <w:tc>
          <w:tcPr>
            <w:tcW w:w="7375" w:type="dxa"/>
            <w:tcBorders>
              <w:top w:val="single" w:color="auto" w:sz="4" w:space="0"/>
              <w:left w:val="single" w:color="auto" w:sz="4" w:space="0"/>
              <w:bottom w:val="single" w:color="auto" w:sz="4" w:space="0"/>
              <w:right w:val="single" w:color="auto" w:sz="4" w:space="0"/>
            </w:tcBorders>
            <w:noWrap w:val="0"/>
            <w:vAlign w:val="top"/>
          </w:tcPr>
          <w:p w14:paraId="6250F20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琶洲每年举办200余场展会，由于供求关系不平衡，参展企业和展览特装设计及搭建公司常常发生特装设计的侵权纠纷，部分纠纷因未及时缓解而上升到治安问题或司法诉讼。</w:t>
            </w:r>
          </w:p>
          <w:p w14:paraId="1311E01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2025年9月4日，上海帝雅文化传播（集团）有限公司（下称“帝雅公司”）和广州丽彦妆生物科技有限公司（下称“丽彦妆公司”）因展位特装设计纠纷和影响展会秩序行为被引导到第68届中国（广州）国际美博会的知识产权工作站进行调解。因案情不符合《广州市展会知识产权保护办法》等法规的受理要件，我中心以人民调解委员会的名义受理本案，并组织双方进行耐心调解，最终双方现场达成和解，帝雅公司同意即</w:t>
            </w:r>
            <w:r>
              <w:rPr>
                <w:rFonts w:hint="eastAsia" w:eastAsia="方正仿宋_GBK" w:cs="Times New Roman"/>
                <w:kern w:val="0"/>
                <w:sz w:val="24"/>
                <w:szCs w:val="24"/>
                <w:lang w:eastAsia="zh-CN"/>
              </w:rPr>
              <w:t>刻</w:t>
            </w:r>
            <w:r>
              <w:rPr>
                <w:rFonts w:hint="default" w:ascii="Times New Roman" w:hAnsi="Times New Roman" w:eastAsia="方正仿宋_GBK" w:cs="Times New Roman"/>
                <w:kern w:val="0"/>
                <w:sz w:val="24"/>
                <w:szCs w:val="24"/>
              </w:rPr>
              <w:t>消除负面影响，丽彦妆公司同意支出2000元人民币和解金，我中心即刻起草书面调解协议，由双方签章确认，回访跟踪显示双方都认真履行了协议内容。</w:t>
            </w:r>
          </w:p>
          <w:p w14:paraId="44A0032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本案的典型意义：</w:t>
            </w:r>
          </w:p>
          <w:p w14:paraId="7623E7B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一、展会特装设计纠纷是展会中最常见的知识产权侵权纠纷之一；</w:t>
            </w:r>
          </w:p>
          <w:p w14:paraId="0790F90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二、调委会利用地理优势在展会现场进行调解；</w:t>
            </w:r>
          </w:p>
          <w:p w14:paraId="3A74794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三、先快速调解，后补齐调解文书；</w:t>
            </w:r>
          </w:p>
          <w:p w14:paraId="43789C5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四、为同类纠纷起到积极的示范效应。</w:t>
            </w:r>
          </w:p>
        </w:tc>
      </w:tr>
    </w:tbl>
    <w:p w14:paraId="6AE4539B">
      <w:pPr>
        <w:rPr>
          <w:rFonts w:hint="eastAsia" w:ascii="Times New Roman" w:hAnsi="Times New Roman" w:eastAsia="方正仿宋_GBK" w:cs="Times New Roman"/>
          <w:b/>
          <w:kern w:val="2"/>
          <w:sz w:val="28"/>
          <w:szCs w:val="22"/>
        </w:rPr>
      </w:pPr>
      <w:r>
        <w:rPr>
          <w:rFonts w:hint="eastAsia" w:ascii="Times New Roman" w:hAnsi="Times New Roman" w:eastAsia="方正仿宋_GBK" w:cs="Times New Roman"/>
          <w:b/>
          <w:kern w:val="2"/>
          <w:sz w:val="28"/>
          <w:szCs w:val="22"/>
        </w:rPr>
        <w:br w:type="page"/>
      </w:r>
    </w:p>
    <w:p w14:paraId="7464F85D">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textAlignment w:val="auto"/>
        <w:outlineLvl w:val="0"/>
        <w:rPr>
          <w:rFonts w:hint="eastAsia" w:ascii="Times New Roman" w:hAnsi="Times New Roman" w:eastAsia="方正仿宋_GBK" w:cs="Times New Roman"/>
          <w:b/>
          <w:kern w:val="2"/>
          <w:sz w:val="28"/>
          <w:szCs w:val="22"/>
        </w:rPr>
      </w:pPr>
      <w:r>
        <w:rPr>
          <w:rFonts w:hint="eastAsia" w:ascii="Times New Roman" w:hAnsi="Times New Roman" w:eastAsia="方正仿宋_GBK" w:cs="Times New Roman"/>
          <w:b/>
          <w:kern w:val="2"/>
          <w:sz w:val="28"/>
          <w:szCs w:val="22"/>
        </w:rPr>
        <w:t>案例</w:t>
      </w:r>
      <w:r>
        <w:rPr>
          <w:rFonts w:hint="default" w:ascii="Times New Roman" w:hAnsi="Times New Roman" w:eastAsia="方正仿宋_GBK" w:cs="Times New Roman"/>
          <w:b/>
          <w:kern w:val="2"/>
          <w:sz w:val="28"/>
          <w:szCs w:val="22"/>
        </w:rPr>
        <w:t>3</w:t>
      </w:r>
      <w:r>
        <w:rPr>
          <w:rFonts w:hint="eastAsia" w:ascii="Times New Roman" w:hAnsi="Times New Roman" w:eastAsia="方正仿宋_GBK" w:cs="Times New Roman"/>
          <w:b/>
          <w:kern w:val="2"/>
          <w:sz w:val="28"/>
          <w:szCs w:val="22"/>
        </w:rPr>
        <w:t>：白云区首宗数据知识产权交易</w:t>
      </w:r>
    </w:p>
    <w:tbl>
      <w:tblPr>
        <w:tblStyle w:val="4"/>
        <w:tblW w:w="86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8"/>
        <w:gridCol w:w="7358"/>
      </w:tblGrid>
      <w:tr w14:paraId="629B3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3B6711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报送单位</w:t>
            </w:r>
          </w:p>
        </w:tc>
        <w:tc>
          <w:tcPr>
            <w:tcW w:w="7358" w:type="dxa"/>
            <w:tcBorders>
              <w:top w:val="single" w:color="auto" w:sz="4" w:space="0"/>
              <w:left w:val="single" w:color="auto" w:sz="4" w:space="0"/>
              <w:bottom w:val="single" w:color="auto" w:sz="4" w:space="0"/>
              <w:right w:val="single" w:color="auto" w:sz="4" w:space="0"/>
            </w:tcBorders>
            <w:noWrap w:val="0"/>
            <w:vAlign w:val="center"/>
          </w:tcPr>
          <w:p w14:paraId="7F8BCEE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Times New Roman"/>
                <w:kern w:val="0"/>
                <w:sz w:val="24"/>
                <w:szCs w:val="24"/>
              </w:rPr>
            </w:pPr>
            <w:r>
              <w:rPr>
                <w:rFonts w:hint="eastAsia" w:ascii="Times New Roman" w:hAnsi="Times New Roman" w:eastAsia="方正仿宋_GBK" w:cs="Times New Roman"/>
                <w:kern w:val="0"/>
                <w:sz w:val="24"/>
                <w:szCs w:val="24"/>
              </w:rPr>
              <w:t>白云区市场监督管理局（知识产权局）</w:t>
            </w:r>
          </w:p>
        </w:tc>
      </w:tr>
      <w:tr w14:paraId="386A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5125364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知识产权公共服务机构名称</w:t>
            </w:r>
          </w:p>
        </w:tc>
        <w:tc>
          <w:tcPr>
            <w:tcW w:w="7358" w:type="dxa"/>
            <w:tcBorders>
              <w:top w:val="single" w:color="auto" w:sz="4" w:space="0"/>
              <w:left w:val="single" w:color="auto" w:sz="4" w:space="0"/>
              <w:bottom w:val="single" w:color="auto" w:sz="4" w:space="0"/>
              <w:right w:val="single" w:color="auto" w:sz="4" w:space="0"/>
            </w:tcBorders>
            <w:noWrap w:val="0"/>
            <w:vAlign w:val="center"/>
          </w:tcPr>
          <w:p w14:paraId="496E507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Times New Roman"/>
                <w:kern w:val="0"/>
                <w:sz w:val="24"/>
                <w:szCs w:val="24"/>
              </w:rPr>
            </w:pPr>
            <w:r>
              <w:rPr>
                <w:rFonts w:hint="eastAsia" w:ascii="Times New Roman" w:hAnsi="Times New Roman" w:eastAsia="方正仿宋_GBK" w:cs="Times New Roman"/>
                <w:kern w:val="0"/>
                <w:sz w:val="24"/>
                <w:szCs w:val="24"/>
              </w:rPr>
              <w:t>广州白云产权经纪有限公司</w:t>
            </w:r>
          </w:p>
        </w:tc>
      </w:tr>
      <w:tr w14:paraId="27E25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086073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服务对象</w:t>
            </w:r>
          </w:p>
        </w:tc>
        <w:tc>
          <w:tcPr>
            <w:tcW w:w="7358" w:type="dxa"/>
            <w:tcBorders>
              <w:top w:val="single" w:color="auto" w:sz="4" w:space="0"/>
              <w:left w:val="single" w:color="auto" w:sz="4" w:space="0"/>
              <w:bottom w:val="single" w:color="auto" w:sz="4" w:space="0"/>
              <w:right w:val="single" w:color="auto" w:sz="4" w:space="0"/>
            </w:tcBorders>
            <w:noWrap w:val="0"/>
            <w:vAlign w:val="center"/>
          </w:tcPr>
          <w:p w14:paraId="36B9F4A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Times New Roman"/>
                <w:kern w:val="0"/>
                <w:sz w:val="24"/>
                <w:szCs w:val="24"/>
              </w:rPr>
            </w:pPr>
            <w:r>
              <w:rPr>
                <w:rFonts w:hint="eastAsia" w:eastAsia="方正仿宋_GBK" w:cs="Times New Roman"/>
                <w:kern w:val="0"/>
                <w:sz w:val="24"/>
                <w:szCs w:val="24"/>
                <w:lang w:eastAsia="zh-CN"/>
              </w:rPr>
              <w:t>广州市</w:t>
            </w:r>
            <w:r>
              <w:rPr>
                <w:rFonts w:hint="eastAsia" w:ascii="Times New Roman" w:hAnsi="Times New Roman" w:eastAsia="方正仿宋_GBK" w:cs="Times New Roman"/>
                <w:kern w:val="0"/>
                <w:sz w:val="24"/>
                <w:szCs w:val="24"/>
              </w:rPr>
              <w:t>白云区政务服务和数据管理局</w:t>
            </w:r>
          </w:p>
        </w:tc>
      </w:tr>
      <w:tr w14:paraId="12E4A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644699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服务需求</w:t>
            </w:r>
          </w:p>
        </w:tc>
        <w:tc>
          <w:tcPr>
            <w:tcW w:w="7358" w:type="dxa"/>
            <w:tcBorders>
              <w:top w:val="single" w:color="auto" w:sz="4" w:space="0"/>
              <w:left w:val="single" w:color="auto" w:sz="4" w:space="0"/>
              <w:bottom w:val="single" w:color="auto" w:sz="4" w:space="0"/>
              <w:right w:val="single" w:color="auto" w:sz="4" w:space="0"/>
            </w:tcBorders>
            <w:noWrap w:val="0"/>
            <w:vAlign w:val="center"/>
          </w:tcPr>
          <w:p w14:paraId="3336F54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Times New Roman"/>
                <w:kern w:val="0"/>
                <w:sz w:val="24"/>
                <w:szCs w:val="24"/>
              </w:rPr>
            </w:pPr>
            <w:r>
              <w:rPr>
                <w:rFonts w:hint="eastAsia" w:ascii="Times New Roman" w:hAnsi="Times New Roman" w:eastAsia="方正仿宋_GBK" w:cs="Times New Roman"/>
                <w:kern w:val="0"/>
                <w:sz w:val="24"/>
                <w:szCs w:val="24"/>
              </w:rPr>
              <w:t>一项发明专利及一项数据知识产权许可</w:t>
            </w:r>
          </w:p>
        </w:tc>
      </w:tr>
      <w:tr w14:paraId="3763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5064F0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解决方案</w:t>
            </w:r>
          </w:p>
        </w:tc>
        <w:tc>
          <w:tcPr>
            <w:tcW w:w="7358" w:type="dxa"/>
            <w:tcBorders>
              <w:top w:val="single" w:color="auto" w:sz="4" w:space="0"/>
              <w:left w:val="single" w:color="auto" w:sz="4" w:space="0"/>
              <w:bottom w:val="single" w:color="auto" w:sz="4" w:space="0"/>
              <w:right w:val="single" w:color="auto" w:sz="4" w:space="0"/>
            </w:tcBorders>
            <w:noWrap w:val="0"/>
            <w:vAlign w:val="center"/>
          </w:tcPr>
          <w:p w14:paraId="1FD9168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Times New Roman"/>
                <w:kern w:val="0"/>
                <w:sz w:val="24"/>
                <w:szCs w:val="24"/>
              </w:rPr>
            </w:pPr>
            <w:r>
              <w:rPr>
                <w:rFonts w:hint="eastAsia" w:ascii="Times New Roman" w:hAnsi="Times New Roman" w:eastAsia="方正仿宋_GBK" w:cs="Times New Roman"/>
                <w:kern w:val="0"/>
                <w:sz w:val="24"/>
                <w:szCs w:val="24"/>
              </w:rPr>
              <w:t>组织交易</w:t>
            </w:r>
          </w:p>
        </w:tc>
      </w:tr>
      <w:tr w14:paraId="4D0F0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2"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5FCBE17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服务成效</w:t>
            </w:r>
          </w:p>
        </w:tc>
        <w:tc>
          <w:tcPr>
            <w:tcW w:w="7358" w:type="dxa"/>
            <w:tcBorders>
              <w:top w:val="single" w:color="auto" w:sz="4" w:space="0"/>
              <w:left w:val="single" w:color="auto" w:sz="4" w:space="0"/>
              <w:bottom w:val="single" w:color="auto" w:sz="4" w:space="0"/>
              <w:right w:val="single" w:color="auto" w:sz="4" w:space="0"/>
            </w:tcBorders>
            <w:noWrap w:val="0"/>
            <w:vAlign w:val="center"/>
          </w:tcPr>
          <w:p w14:paraId="4A4BE43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方正仿宋_GBK" w:cs="Times New Roman"/>
                <w:kern w:val="0"/>
                <w:sz w:val="24"/>
                <w:szCs w:val="24"/>
              </w:rPr>
            </w:pPr>
            <w:r>
              <w:rPr>
                <w:rFonts w:hint="eastAsia" w:ascii="Times New Roman" w:hAnsi="Times New Roman" w:eastAsia="方正仿宋_GBK" w:cs="Times New Roman"/>
                <w:kern w:val="0"/>
                <w:sz w:val="24"/>
                <w:szCs w:val="24"/>
              </w:rPr>
              <w:t>广州白云产权经纪有限公司提供从“需求对接”到“交易完成”的全链条、精细化知识产权运营服务，成功运作白云区首宗行政机关数据知识产权交易，实现“从0到1”的突破。</w:t>
            </w:r>
          </w:p>
          <w:p w14:paraId="4BBC699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方正仿宋_GBK" w:cs="Times New Roman"/>
                <w:kern w:val="0"/>
                <w:sz w:val="24"/>
                <w:szCs w:val="24"/>
              </w:rPr>
            </w:pPr>
            <w:r>
              <w:rPr>
                <w:rFonts w:hint="eastAsia" w:ascii="Times New Roman" w:hAnsi="Times New Roman" w:eastAsia="方正仿宋_GBK" w:cs="Times New Roman"/>
                <w:kern w:val="0"/>
                <w:sz w:val="24"/>
                <w:szCs w:val="24"/>
              </w:rPr>
              <w:t>（1）破解难题：为解决长期存在的“数据孤岛”和“资产闲置”问题提供了可复制、可推广的实践路径。</w:t>
            </w:r>
          </w:p>
          <w:p w14:paraId="6B6615A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方正仿宋_GBK" w:cs="Times New Roman"/>
                <w:kern w:val="0"/>
                <w:sz w:val="24"/>
                <w:szCs w:val="24"/>
              </w:rPr>
            </w:pPr>
            <w:r>
              <w:rPr>
                <w:rFonts w:hint="eastAsia" w:ascii="Times New Roman" w:hAnsi="Times New Roman" w:eastAsia="方正仿宋_GBK" w:cs="Times New Roman"/>
                <w:kern w:val="0"/>
                <w:sz w:val="24"/>
                <w:szCs w:val="24"/>
              </w:rPr>
              <w:t>（2）释放价值：推动了政务数据从封闭走向开放共享，是释放国有无形资产价值、盘活存量数据知识效用的一次全新探索。</w:t>
            </w:r>
          </w:p>
          <w:p w14:paraId="1B84ECF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方正仿宋_GBK" w:cs="Times New Roman"/>
                <w:kern w:val="0"/>
                <w:sz w:val="24"/>
                <w:szCs w:val="24"/>
              </w:rPr>
            </w:pPr>
            <w:r>
              <w:rPr>
                <w:rFonts w:hint="eastAsia" w:ascii="Times New Roman" w:hAnsi="Times New Roman" w:eastAsia="方正仿宋_GBK" w:cs="Times New Roman"/>
                <w:kern w:val="0"/>
                <w:sz w:val="24"/>
                <w:szCs w:val="24"/>
              </w:rPr>
              <w:t>（3）赋能产业：该专利技术使12345热线智能派单率和准确率分别达</w:t>
            </w:r>
            <w:r>
              <w:rPr>
                <w:rFonts w:hint="eastAsia" w:eastAsia="方正仿宋_GBK" w:cs="Times New Roman"/>
                <w:kern w:val="0"/>
                <w:sz w:val="24"/>
                <w:szCs w:val="24"/>
                <w:lang w:eastAsia="zh-CN"/>
              </w:rPr>
              <w:t>到</w:t>
            </w:r>
            <w:r>
              <w:rPr>
                <w:rFonts w:hint="eastAsia" w:ascii="Times New Roman" w:hAnsi="Times New Roman" w:eastAsia="方正仿宋_GBK" w:cs="Times New Roman"/>
                <w:kern w:val="0"/>
                <w:sz w:val="24"/>
                <w:szCs w:val="24"/>
              </w:rPr>
              <w:t>95%和85%以上；该数据知识产权通过4690个民生话题的智能分析，构建“四安”量化评价体系实现从“接诉即办”向“未诉先办”转型。</w:t>
            </w:r>
          </w:p>
        </w:tc>
      </w:tr>
    </w:tbl>
    <w:p w14:paraId="6E0DFD32">
      <w:pPr>
        <w:rPr>
          <w:rFonts w:hint="default" w:ascii="Times New Roman" w:hAnsi="Times New Roman" w:eastAsia="方正仿宋_GBK" w:cs="Times New Roman"/>
          <w:b/>
          <w:kern w:val="2"/>
          <w:sz w:val="28"/>
          <w:szCs w:val="22"/>
        </w:rPr>
      </w:pPr>
      <w:r>
        <w:rPr>
          <w:rFonts w:hint="default" w:ascii="Times New Roman" w:hAnsi="Times New Roman" w:eastAsia="方正仿宋_GBK" w:cs="Times New Roman"/>
          <w:b/>
          <w:kern w:val="2"/>
          <w:sz w:val="28"/>
          <w:szCs w:val="22"/>
        </w:rPr>
        <w:br w:type="page"/>
      </w:r>
    </w:p>
    <w:p w14:paraId="311EFF6D">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textAlignment w:val="auto"/>
        <w:outlineLvl w:val="0"/>
        <w:rPr>
          <w:rFonts w:hint="default" w:ascii="Times New Roman" w:hAnsi="Times New Roman" w:eastAsia="方正仿宋_GBK" w:cs="Times New Roman"/>
          <w:b/>
          <w:kern w:val="2"/>
          <w:sz w:val="28"/>
          <w:szCs w:val="22"/>
        </w:rPr>
      </w:pPr>
      <w:r>
        <w:rPr>
          <w:rFonts w:hint="default" w:ascii="Times New Roman" w:hAnsi="Times New Roman" w:eastAsia="方正仿宋_GBK" w:cs="Times New Roman"/>
          <w:b/>
          <w:kern w:val="2"/>
          <w:sz w:val="28"/>
          <w:szCs w:val="22"/>
        </w:rPr>
        <w:t>案例4：</w:t>
      </w:r>
      <w:r>
        <w:rPr>
          <w:rFonts w:hint="eastAsia" w:ascii="Times New Roman" w:hAnsi="Times New Roman" w:eastAsia="方正仿宋_GBK" w:cs="Times New Roman"/>
          <w:b/>
          <w:kern w:val="2"/>
          <w:sz w:val="28"/>
          <w:szCs w:val="22"/>
        </w:rPr>
        <w:t>建设番禺区企业园区知识产权工作站，打造“一站式、全链条”知识产权服务平台</w:t>
      </w:r>
    </w:p>
    <w:tbl>
      <w:tblPr>
        <w:tblStyle w:val="4"/>
        <w:tblW w:w="8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8"/>
        <w:gridCol w:w="7388"/>
      </w:tblGrid>
      <w:tr w14:paraId="54AE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4E671B0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报送单位</w:t>
            </w:r>
          </w:p>
        </w:tc>
        <w:tc>
          <w:tcPr>
            <w:tcW w:w="7388" w:type="dxa"/>
            <w:tcBorders>
              <w:top w:val="single" w:color="auto" w:sz="4" w:space="0"/>
              <w:left w:val="single" w:color="auto" w:sz="4" w:space="0"/>
              <w:bottom w:val="single" w:color="auto" w:sz="4" w:space="0"/>
              <w:right w:val="single" w:color="auto" w:sz="4" w:space="0"/>
            </w:tcBorders>
            <w:noWrap w:val="0"/>
            <w:vAlign w:val="center"/>
          </w:tcPr>
          <w:p w14:paraId="1C056BB3">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番禺区市场监督管理局（知识产权局）</w:t>
            </w:r>
          </w:p>
        </w:tc>
      </w:tr>
      <w:tr w14:paraId="178A1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3E2F12D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知识产权公共服务机构名称</w:t>
            </w:r>
          </w:p>
        </w:tc>
        <w:tc>
          <w:tcPr>
            <w:tcW w:w="7388" w:type="dxa"/>
            <w:tcBorders>
              <w:top w:val="single" w:color="auto" w:sz="4" w:space="0"/>
              <w:left w:val="single" w:color="auto" w:sz="4" w:space="0"/>
              <w:bottom w:val="single" w:color="auto" w:sz="4" w:space="0"/>
              <w:right w:val="single" w:color="auto" w:sz="4" w:space="0"/>
            </w:tcBorders>
            <w:noWrap w:val="0"/>
            <w:vAlign w:val="center"/>
          </w:tcPr>
          <w:p w14:paraId="1506A1D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天安科技园、巨大产业园等21个园区、协会的企业园区知识产权工作站</w:t>
            </w:r>
          </w:p>
        </w:tc>
      </w:tr>
      <w:tr w14:paraId="56F92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6EF731C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企业名称</w:t>
            </w:r>
          </w:p>
        </w:tc>
        <w:tc>
          <w:tcPr>
            <w:tcW w:w="7388" w:type="dxa"/>
            <w:tcBorders>
              <w:top w:val="single" w:color="auto" w:sz="4" w:space="0"/>
              <w:left w:val="single" w:color="auto" w:sz="4" w:space="0"/>
              <w:bottom w:val="single" w:color="auto" w:sz="4" w:space="0"/>
              <w:right w:val="single" w:color="auto" w:sz="4" w:space="0"/>
            </w:tcBorders>
            <w:noWrap w:val="0"/>
            <w:vAlign w:val="center"/>
          </w:tcPr>
          <w:p w14:paraId="49F69F99">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广州市番禺节能科技园发展有限公司、广州市番禺巨大电业有限公司等21个园区、协会内相关企业</w:t>
            </w:r>
          </w:p>
        </w:tc>
      </w:tr>
      <w:tr w14:paraId="173FF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7099ED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服务需求</w:t>
            </w:r>
          </w:p>
        </w:tc>
        <w:tc>
          <w:tcPr>
            <w:tcW w:w="7388" w:type="dxa"/>
            <w:tcBorders>
              <w:top w:val="single" w:color="auto" w:sz="4" w:space="0"/>
              <w:left w:val="single" w:color="auto" w:sz="4" w:space="0"/>
              <w:bottom w:val="single" w:color="auto" w:sz="4" w:space="0"/>
              <w:right w:val="single" w:color="auto" w:sz="4" w:space="0"/>
            </w:tcBorders>
            <w:noWrap w:val="0"/>
            <w:vAlign w:val="center"/>
          </w:tcPr>
          <w:p w14:paraId="2D46878B">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园区、协会内的企业在技术创新、专利布局、成果转化等环节面临大量知识产权申请、管理、维权等实际需求。</w:t>
            </w:r>
          </w:p>
        </w:tc>
      </w:tr>
      <w:tr w14:paraId="5DC7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7D1B6DC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解决方案</w:t>
            </w:r>
          </w:p>
        </w:tc>
        <w:tc>
          <w:tcPr>
            <w:tcW w:w="7388" w:type="dxa"/>
            <w:tcBorders>
              <w:top w:val="single" w:color="auto" w:sz="4" w:space="0"/>
              <w:left w:val="single" w:color="auto" w:sz="4" w:space="0"/>
              <w:bottom w:val="single" w:color="auto" w:sz="4" w:space="0"/>
              <w:right w:val="single" w:color="auto" w:sz="4" w:space="0"/>
            </w:tcBorders>
            <w:noWrap w:val="0"/>
            <w:vAlign w:val="center"/>
          </w:tcPr>
          <w:p w14:paraId="2E4B6F36">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建成21个企业园区知识产权工作站，通过起草制定团标《企业园区知识产权工作站建设及服务规范》，指导知识产权工作站向企业提供知识产权咨询、宣传、维权援助等服务，帮助企业快速获取和运用知识产权，了解并掌握知识产权的各类知识，促进科技成果转化，提升创新能力和市场竞争力。</w:t>
            </w:r>
          </w:p>
        </w:tc>
      </w:tr>
      <w:tr w14:paraId="54D85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3FE916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服务成效</w:t>
            </w:r>
          </w:p>
        </w:tc>
        <w:tc>
          <w:tcPr>
            <w:tcW w:w="7388" w:type="dxa"/>
            <w:tcBorders>
              <w:top w:val="single" w:color="auto" w:sz="4" w:space="0"/>
              <w:left w:val="single" w:color="auto" w:sz="4" w:space="0"/>
              <w:bottom w:val="single" w:color="auto" w:sz="4" w:space="0"/>
              <w:right w:val="single" w:color="auto" w:sz="4" w:space="0"/>
            </w:tcBorders>
            <w:noWrap w:val="0"/>
            <w:vAlign w:val="top"/>
          </w:tcPr>
          <w:p w14:paraId="47F931B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一、扎实开展知识产权培训、讲座等相关活动，利用线上线下平台加强知识产权宣传推广工作。2025年企业园区知识产权工作站累计开展各类培训、讲座二十余场。</w:t>
            </w:r>
          </w:p>
          <w:p w14:paraId="57E5E66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二、协助市场监管局及时掌握园区内企业知识产权动态，并通过引入专业机构资源，为园区内企业提供知识产权合规、管理和维权等业务指导。</w:t>
            </w:r>
          </w:p>
          <w:p w14:paraId="65F301C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三、充分发挥企业园区知识产权工作站与区市场监管局的联络渠道优势，及时将省市区各级知识产权部门的优惠政策普及到园区内企业，鼓励企业积极参加各级知识产权部门的评优评奖活动，打通惠企政策的</w:t>
            </w:r>
            <w:r>
              <w:rPr>
                <w:rFonts w:hint="eastAsia" w:eastAsia="方正仿宋_GBK" w:cs="Times New Roman"/>
                <w:kern w:val="0"/>
                <w:sz w:val="24"/>
                <w:szCs w:val="24"/>
                <w:lang w:eastAsia="zh-CN"/>
              </w:rPr>
              <w:t>“</w:t>
            </w:r>
            <w:r>
              <w:rPr>
                <w:rFonts w:hint="default" w:ascii="Times New Roman" w:hAnsi="Times New Roman" w:eastAsia="方正仿宋_GBK" w:cs="Times New Roman"/>
                <w:kern w:val="0"/>
                <w:sz w:val="24"/>
                <w:szCs w:val="24"/>
              </w:rPr>
              <w:t>最后一公里</w:t>
            </w:r>
            <w:r>
              <w:rPr>
                <w:rFonts w:hint="eastAsia" w:eastAsia="方正仿宋_GBK" w:cs="Times New Roman"/>
                <w:kern w:val="0"/>
                <w:sz w:val="24"/>
                <w:szCs w:val="24"/>
                <w:lang w:eastAsia="zh-CN"/>
              </w:rPr>
              <w:t>”</w:t>
            </w:r>
            <w:r>
              <w:rPr>
                <w:rFonts w:hint="default" w:ascii="Times New Roman" w:hAnsi="Times New Roman" w:eastAsia="方正仿宋_GBK" w:cs="Times New Roman"/>
                <w:kern w:val="0"/>
                <w:sz w:val="24"/>
                <w:szCs w:val="24"/>
              </w:rPr>
              <w:t>。</w:t>
            </w:r>
          </w:p>
        </w:tc>
      </w:tr>
    </w:tbl>
    <w:p w14:paraId="4126AF05">
      <w:pPr>
        <w:rPr>
          <w:rFonts w:hint="eastAsia" w:ascii="Times New Roman" w:hAnsi="Times New Roman" w:eastAsia="方正仿宋_GBK" w:cs="Times New Roman"/>
          <w:b/>
          <w:kern w:val="2"/>
          <w:sz w:val="28"/>
          <w:szCs w:val="22"/>
        </w:rPr>
      </w:pPr>
      <w:r>
        <w:rPr>
          <w:rFonts w:hint="eastAsia" w:ascii="Times New Roman" w:hAnsi="Times New Roman" w:eastAsia="方正仿宋_GBK" w:cs="Times New Roman"/>
          <w:b/>
          <w:kern w:val="2"/>
          <w:sz w:val="28"/>
          <w:szCs w:val="22"/>
        </w:rPr>
        <w:br w:type="page"/>
      </w:r>
    </w:p>
    <w:p w14:paraId="09CFC1EC">
      <w:pPr>
        <w:pStyle w:val="2"/>
        <w:shd w:val="clear" w:color="auto" w:fill="FFFFFF"/>
        <w:spacing w:before="0" w:beforeAutospacing="0" w:after="0" w:afterAutospacing="0"/>
        <w:outlineLvl w:val="0"/>
        <w:rPr>
          <w:rFonts w:hint="default" w:ascii="Times New Roman" w:hAnsi="Times New Roman" w:eastAsia="方正仿宋_GBK" w:cs="Times New Roman"/>
          <w:b/>
          <w:kern w:val="2"/>
          <w:sz w:val="28"/>
          <w:szCs w:val="22"/>
        </w:rPr>
      </w:pPr>
      <w:r>
        <w:rPr>
          <w:rFonts w:hint="eastAsia" w:ascii="Times New Roman" w:hAnsi="Times New Roman" w:eastAsia="方正仿宋_GBK" w:cs="Times New Roman"/>
          <w:b/>
          <w:kern w:val="2"/>
          <w:sz w:val="28"/>
          <w:szCs w:val="22"/>
        </w:rPr>
        <w:t>案例</w:t>
      </w:r>
      <w:r>
        <w:rPr>
          <w:rFonts w:hint="default" w:ascii="Times New Roman" w:hAnsi="Times New Roman" w:eastAsia="方正仿宋_GBK" w:cs="Times New Roman"/>
          <w:b/>
          <w:kern w:val="2"/>
          <w:sz w:val="28"/>
          <w:szCs w:val="22"/>
        </w:rPr>
        <w:t>5</w:t>
      </w:r>
      <w:r>
        <w:rPr>
          <w:rFonts w:hint="eastAsia" w:ascii="Times New Roman" w:hAnsi="Times New Roman" w:eastAsia="方正仿宋_GBK" w:cs="Times New Roman"/>
          <w:b/>
          <w:kern w:val="2"/>
          <w:sz w:val="28"/>
          <w:szCs w:val="22"/>
        </w:rPr>
        <w:t>：</w:t>
      </w:r>
      <w:r>
        <w:rPr>
          <w:rFonts w:hint="default" w:ascii="Times New Roman" w:hAnsi="Times New Roman" w:eastAsia="方正仿宋_GBK" w:cs="Times New Roman"/>
          <w:b/>
          <w:kern w:val="2"/>
          <w:sz w:val="28"/>
          <w:szCs w:val="22"/>
        </w:rPr>
        <w:t>商标业务精准对接服务</w:t>
      </w:r>
    </w:p>
    <w:tbl>
      <w:tblPr>
        <w:tblStyle w:val="4"/>
        <w:tblW w:w="85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8"/>
        <w:gridCol w:w="7249"/>
      </w:tblGrid>
      <w:tr w14:paraId="6F172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308" w:type="dxa"/>
            <w:tcBorders>
              <w:tl2br w:val="nil"/>
              <w:tr2bl w:val="nil"/>
            </w:tcBorders>
            <w:noWrap w:val="0"/>
            <w:vAlign w:val="center"/>
          </w:tcPr>
          <w:p w14:paraId="67296E0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报送单位</w:t>
            </w:r>
          </w:p>
        </w:tc>
        <w:tc>
          <w:tcPr>
            <w:tcW w:w="7249" w:type="dxa"/>
            <w:tcBorders>
              <w:tl2br w:val="nil"/>
              <w:tr2bl w:val="nil"/>
            </w:tcBorders>
            <w:noWrap w:val="0"/>
            <w:vAlign w:val="center"/>
          </w:tcPr>
          <w:p w14:paraId="715DEFC9">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南沙区市场监督管理局（知识产权局）</w:t>
            </w:r>
          </w:p>
        </w:tc>
      </w:tr>
      <w:tr w14:paraId="07D5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308" w:type="dxa"/>
            <w:tcBorders>
              <w:tl2br w:val="nil"/>
              <w:tr2bl w:val="nil"/>
            </w:tcBorders>
            <w:noWrap w:val="0"/>
            <w:vAlign w:val="center"/>
          </w:tcPr>
          <w:p w14:paraId="4627F9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知识产权公共服务机构名称</w:t>
            </w:r>
          </w:p>
        </w:tc>
        <w:tc>
          <w:tcPr>
            <w:tcW w:w="7249" w:type="dxa"/>
            <w:tcBorders>
              <w:tl2br w:val="nil"/>
              <w:tr2bl w:val="nil"/>
            </w:tcBorders>
            <w:noWrap w:val="0"/>
            <w:vAlign w:val="center"/>
          </w:tcPr>
          <w:p w14:paraId="5E90D41F">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广东省知识产权保护中心南沙分中心</w:t>
            </w:r>
          </w:p>
        </w:tc>
      </w:tr>
      <w:tr w14:paraId="3CCA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308" w:type="dxa"/>
            <w:tcBorders>
              <w:tl2br w:val="nil"/>
              <w:tr2bl w:val="nil"/>
            </w:tcBorders>
            <w:noWrap w:val="0"/>
            <w:vAlign w:val="center"/>
          </w:tcPr>
          <w:p w14:paraId="1C8BA7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企业名称</w:t>
            </w:r>
          </w:p>
        </w:tc>
        <w:tc>
          <w:tcPr>
            <w:tcW w:w="7249" w:type="dxa"/>
            <w:tcBorders>
              <w:tl2br w:val="nil"/>
              <w:tr2bl w:val="nil"/>
            </w:tcBorders>
            <w:noWrap w:val="0"/>
            <w:vAlign w:val="center"/>
          </w:tcPr>
          <w:p w14:paraId="66531BB1">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绿亨科技集团股份有限公司旗下2家南沙子公司（广州绿亨番茄科技产业发展有限公司、广州南沙绿亨育种科学研究院有限公司）</w:t>
            </w:r>
          </w:p>
        </w:tc>
      </w:tr>
      <w:tr w14:paraId="19223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08" w:type="dxa"/>
            <w:tcBorders>
              <w:tl2br w:val="nil"/>
              <w:tr2bl w:val="nil"/>
            </w:tcBorders>
            <w:noWrap w:val="0"/>
            <w:vAlign w:val="center"/>
          </w:tcPr>
          <w:p w14:paraId="1BCBD0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服务需求</w:t>
            </w:r>
          </w:p>
        </w:tc>
        <w:tc>
          <w:tcPr>
            <w:tcW w:w="7249" w:type="dxa"/>
            <w:tcBorders>
              <w:tl2br w:val="nil"/>
              <w:tr2bl w:val="nil"/>
            </w:tcBorders>
            <w:noWrap w:val="0"/>
            <w:vAlign w:val="center"/>
          </w:tcPr>
          <w:p w14:paraId="48F5186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商标评估、申请及商标地址变更</w:t>
            </w:r>
          </w:p>
        </w:tc>
      </w:tr>
      <w:tr w14:paraId="75E7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308" w:type="dxa"/>
            <w:tcBorders>
              <w:tl2br w:val="nil"/>
              <w:tr2bl w:val="nil"/>
            </w:tcBorders>
            <w:noWrap w:val="0"/>
            <w:vAlign w:val="center"/>
          </w:tcPr>
          <w:p w14:paraId="2FE2DC6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解决方案</w:t>
            </w:r>
          </w:p>
        </w:tc>
        <w:tc>
          <w:tcPr>
            <w:tcW w:w="7249" w:type="dxa"/>
            <w:tcBorders>
              <w:tl2br w:val="nil"/>
              <w:tr2bl w:val="nil"/>
            </w:tcBorders>
            <w:noWrap w:val="0"/>
            <w:vAlign w:val="center"/>
          </w:tcPr>
          <w:p w14:paraId="67A99CC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对企业提出的商标注册方案进行精准评估，提出注册建议；联动国家知识产权局商标业务广州南沙受理窗口为企业提供商标注册申请服务。</w:t>
            </w:r>
          </w:p>
        </w:tc>
      </w:tr>
      <w:tr w14:paraId="1D6BC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308" w:type="dxa"/>
            <w:tcBorders>
              <w:tl2br w:val="nil"/>
              <w:tr2bl w:val="nil"/>
            </w:tcBorders>
            <w:noWrap w:val="0"/>
            <w:vAlign w:val="center"/>
          </w:tcPr>
          <w:p w14:paraId="23C4CD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服务成效</w:t>
            </w:r>
          </w:p>
        </w:tc>
        <w:tc>
          <w:tcPr>
            <w:tcW w:w="7249" w:type="dxa"/>
            <w:tcBorders>
              <w:tl2br w:val="nil"/>
              <w:tr2bl w:val="nil"/>
            </w:tcBorders>
            <w:noWrap w:val="0"/>
            <w:vAlign w:val="top"/>
          </w:tcPr>
          <w:p w14:paraId="1220875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绿亨科技集团股份有限公司（以下简称“绿亨公司”）是国内知名的集研发、生产、销售、推广于一体的综合型农资集团。2022年12月登陆北交所，成为A股市场“蔬菜种业第一股”“种子+植保”双主业第一股。为了服务好南沙本土农业品牌发展，广东省知识产权保护中心南沙分中心（以下简称“南沙分中心”）主动对接绿亨公司，了解到集团旗下2家南沙子公司（广州绿亨番茄科技产业发展有限公司、广州南沙绿亨育种科学研究院有限公司）有商标注册申请需求。</w:t>
            </w:r>
          </w:p>
          <w:p w14:paraId="1111DEB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5月21日，南沙分中心与旗下子公司通过建立微信群线上为企业拟申请商标把脉问诊，提供便利化精准注册服务，先后为企业提供“青缇番茄、芙白茂莓、台山之芒、橙莓番茄、慕斯番茄、斯语番茄、斯语斯甜、语猗、青淇淋番茄、昕玉、慕橙、慕霞、樱红、樱绿、樱白、樱粉、樱紫、樱番红、SOFO苏芙”等一系列商标在31类植物种子、新鲜番茄、新鲜圣女果等商品上检索分析服务，做出精准商标注册评估：建议注册“青缇、语猗、慕霞、青淇淋、慕斯、斯语斯甜、樱绿、樱白、樱粉、樱紫、樱番红”，其他不建议注册，建议注册时去掉“番茄”二字，可以扩大商品种类，增加注册成功率。南沙分中心上门为企业辅导注册申请材料的填写，并联动国家知识产权局商标业务广州南沙受理窗口（以下简称“南沙商标受理窗口”），对企业递交的11个商标注册申请材料进行商标注册申请。目前经系统查询，5个商标已经初审公告阶段，3个商标进入实质审查阶段，3个商标处于受理申请中。</w:t>
            </w:r>
          </w:p>
          <w:p w14:paraId="7487F71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南沙分中心的主动对接，实现了企业商标业务办理零跑腿，形成了“南沙分中心+南沙商标受理窗口”联动模式，由南沙分中心提供“线上商标评估、注册材料辅导审核、材料递交”等服务，南沙商标受理窗口受理南沙分中心递交的企业商标资料，真正为企业做到一站式服务，高效品牌布局，也为南沙区营商环境高质量、可持续发展提供有力支撑。</w:t>
            </w:r>
          </w:p>
        </w:tc>
      </w:tr>
    </w:tbl>
    <w:p w14:paraId="3935FAC9">
      <w:pPr>
        <w:rPr>
          <w:rFonts w:hint="eastAsia" w:ascii="Times New Roman" w:hAnsi="Times New Roman" w:eastAsia="方正仿宋_GBK" w:cs="Times New Roman"/>
          <w:b/>
          <w:kern w:val="2"/>
          <w:sz w:val="28"/>
          <w:szCs w:val="22"/>
        </w:rPr>
      </w:pPr>
      <w:r>
        <w:rPr>
          <w:rFonts w:hint="eastAsia" w:ascii="Times New Roman" w:hAnsi="Times New Roman" w:eastAsia="方正仿宋_GBK" w:cs="Times New Roman"/>
          <w:b/>
          <w:kern w:val="2"/>
          <w:sz w:val="28"/>
          <w:szCs w:val="22"/>
        </w:rPr>
        <w:br w:type="page"/>
      </w:r>
    </w:p>
    <w:p w14:paraId="1FB740EE">
      <w:pPr>
        <w:pStyle w:val="2"/>
        <w:shd w:val="clear" w:color="auto" w:fill="FFFFFF"/>
        <w:spacing w:before="0" w:beforeAutospacing="0" w:after="0" w:afterAutospacing="0"/>
        <w:outlineLvl w:val="0"/>
        <w:rPr>
          <w:rFonts w:hint="default" w:ascii="Times New Roman" w:hAnsi="Times New Roman" w:eastAsia="方正仿宋_GBK" w:cs="Times New Roman"/>
          <w:b/>
          <w:kern w:val="2"/>
          <w:sz w:val="28"/>
          <w:szCs w:val="22"/>
        </w:rPr>
      </w:pPr>
      <w:r>
        <w:rPr>
          <w:rFonts w:hint="eastAsia" w:ascii="Times New Roman" w:hAnsi="Times New Roman" w:eastAsia="方正仿宋_GBK" w:cs="Times New Roman"/>
          <w:b/>
          <w:kern w:val="2"/>
          <w:sz w:val="28"/>
          <w:szCs w:val="22"/>
        </w:rPr>
        <w:t>案例6：四步路径，打造花都电商知识产权侵权高效处理模式</w:t>
      </w:r>
    </w:p>
    <w:tbl>
      <w:tblPr>
        <w:tblStyle w:val="4"/>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8"/>
        <w:gridCol w:w="7305"/>
      </w:tblGrid>
      <w:tr w14:paraId="3D791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308" w:type="dxa"/>
            <w:tcBorders>
              <w:top w:val="single" w:color="auto" w:sz="4" w:space="0"/>
              <w:left w:val="single" w:color="auto" w:sz="4" w:space="0"/>
              <w:bottom w:val="single" w:color="auto" w:sz="4" w:space="0"/>
              <w:right w:val="single" w:color="auto" w:sz="4" w:space="0"/>
            </w:tcBorders>
            <w:noWrap w:val="0"/>
            <w:vAlign w:val="center"/>
          </w:tcPr>
          <w:p w14:paraId="53AA390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报送单位</w:t>
            </w:r>
          </w:p>
        </w:tc>
        <w:tc>
          <w:tcPr>
            <w:tcW w:w="7305" w:type="dxa"/>
            <w:tcBorders>
              <w:top w:val="single" w:color="auto" w:sz="4" w:space="0"/>
              <w:left w:val="single" w:color="auto" w:sz="4" w:space="0"/>
              <w:bottom w:val="single" w:color="auto" w:sz="4" w:space="0"/>
              <w:right w:val="single" w:color="auto" w:sz="4" w:space="0"/>
            </w:tcBorders>
            <w:noWrap w:val="0"/>
            <w:vAlign w:val="center"/>
          </w:tcPr>
          <w:p w14:paraId="7400FD7B">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花都区市场监督管理局（知识产权局）</w:t>
            </w:r>
          </w:p>
        </w:tc>
      </w:tr>
      <w:tr w14:paraId="50A3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308" w:type="dxa"/>
            <w:tcBorders>
              <w:top w:val="single" w:color="auto" w:sz="4" w:space="0"/>
              <w:left w:val="single" w:color="auto" w:sz="4" w:space="0"/>
              <w:bottom w:val="single" w:color="auto" w:sz="4" w:space="0"/>
              <w:right w:val="single" w:color="auto" w:sz="4" w:space="0"/>
            </w:tcBorders>
            <w:noWrap w:val="0"/>
            <w:vAlign w:val="center"/>
          </w:tcPr>
          <w:p w14:paraId="599419B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知识产权公共服务机构名称</w:t>
            </w:r>
          </w:p>
        </w:tc>
        <w:tc>
          <w:tcPr>
            <w:tcW w:w="7305" w:type="dxa"/>
            <w:tcBorders>
              <w:top w:val="single" w:color="auto" w:sz="4" w:space="0"/>
              <w:left w:val="single" w:color="auto" w:sz="4" w:space="0"/>
              <w:bottom w:val="single" w:color="auto" w:sz="4" w:space="0"/>
              <w:right w:val="single" w:color="auto" w:sz="4" w:space="0"/>
            </w:tcBorders>
            <w:noWrap w:val="0"/>
            <w:vAlign w:val="center"/>
          </w:tcPr>
          <w:p w14:paraId="25C3836B">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广州花都（皮革皮具）知识产权快</w:t>
            </w:r>
            <w:r>
              <w:rPr>
                <w:rFonts w:hint="eastAsia" w:eastAsia="方正仿宋_GBK" w:cs="Times New Roman"/>
                <w:kern w:val="0"/>
                <w:sz w:val="24"/>
                <w:szCs w:val="24"/>
                <w:lang w:eastAsia="zh-CN"/>
              </w:rPr>
              <w:t>速</w:t>
            </w:r>
            <w:r>
              <w:rPr>
                <w:rFonts w:hint="default" w:ascii="Times New Roman" w:hAnsi="Times New Roman" w:eastAsia="方正仿宋_GBK" w:cs="Times New Roman"/>
                <w:kern w:val="0"/>
                <w:sz w:val="24"/>
                <w:szCs w:val="24"/>
              </w:rPr>
              <w:t>维权中心</w:t>
            </w:r>
          </w:p>
        </w:tc>
      </w:tr>
      <w:tr w14:paraId="422A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308" w:type="dxa"/>
            <w:tcBorders>
              <w:top w:val="single" w:color="auto" w:sz="4" w:space="0"/>
              <w:left w:val="single" w:color="auto" w:sz="4" w:space="0"/>
              <w:bottom w:val="single" w:color="auto" w:sz="4" w:space="0"/>
              <w:right w:val="single" w:color="auto" w:sz="4" w:space="0"/>
            </w:tcBorders>
            <w:noWrap w:val="0"/>
            <w:vAlign w:val="center"/>
          </w:tcPr>
          <w:p w14:paraId="67F5DA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企业名称</w:t>
            </w:r>
          </w:p>
        </w:tc>
        <w:tc>
          <w:tcPr>
            <w:tcW w:w="7305" w:type="dxa"/>
            <w:tcBorders>
              <w:top w:val="single" w:color="auto" w:sz="4" w:space="0"/>
              <w:left w:val="single" w:color="auto" w:sz="4" w:space="0"/>
              <w:bottom w:val="single" w:color="auto" w:sz="4" w:space="0"/>
              <w:right w:val="single" w:color="auto" w:sz="4" w:space="0"/>
            </w:tcBorders>
            <w:noWrap w:val="0"/>
            <w:vAlign w:val="center"/>
          </w:tcPr>
          <w:p w14:paraId="088E36F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一只鱼网络科技（广州）有限公司</w:t>
            </w:r>
          </w:p>
        </w:tc>
      </w:tr>
      <w:tr w14:paraId="38B9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308" w:type="dxa"/>
            <w:tcBorders>
              <w:top w:val="single" w:color="auto" w:sz="4" w:space="0"/>
              <w:left w:val="single" w:color="auto" w:sz="4" w:space="0"/>
              <w:bottom w:val="single" w:color="auto" w:sz="4" w:space="0"/>
              <w:right w:val="single" w:color="auto" w:sz="4" w:space="0"/>
            </w:tcBorders>
            <w:noWrap w:val="0"/>
            <w:vAlign w:val="center"/>
          </w:tcPr>
          <w:p w14:paraId="5D54CC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服务需求</w:t>
            </w:r>
          </w:p>
        </w:tc>
        <w:tc>
          <w:tcPr>
            <w:tcW w:w="7305" w:type="dxa"/>
            <w:tcBorders>
              <w:top w:val="single" w:color="auto" w:sz="4" w:space="0"/>
              <w:left w:val="single" w:color="auto" w:sz="4" w:space="0"/>
              <w:bottom w:val="single" w:color="auto" w:sz="4" w:space="0"/>
              <w:right w:val="single" w:color="auto" w:sz="4" w:space="0"/>
            </w:tcBorders>
            <w:noWrap w:val="0"/>
            <w:vAlign w:val="center"/>
          </w:tcPr>
          <w:p w14:paraId="47E8358D">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知识产权维权、电商侵权纠纷快速处理</w:t>
            </w:r>
          </w:p>
        </w:tc>
      </w:tr>
      <w:tr w14:paraId="4DCE9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4" w:hRule="atLeast"/>
        </w:trPr>
        <w:tc>
          <w:tcPr>
            <w:tcW w:w="1308" w:type="dxa"/>
            <w:tcBorders>
              <w:top w:val="single" w:color="auto" w:sz="4" w:space="0"/>
              <w:left w:val="single" w:color="auto" w:sz="4" w:space="0"/>
              <w:bottom w:val="single" w:color="auto" w:sz="4" w:space="0"/>
              <w:right w:val="single" w:color="auto" w:sz="4" w:space="0"/>
            </w:tcBorders>
            <w:noWrap w:val="0"/>
            <w:vAlign w:val="center"/>
          </w:tcPr>
          <w:p w14:paraId="3B826A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解决方案</w:t>
            </w:r>
          </w:p>
        </w:tc>
        <w:tc>
          <w:tcPr>
            <w:tcW w:w="7305" w:type="dxa"/>
            <w:tcBorders>
              <w:top w:val="single" w:color="auto" w:sz="4" w:space="0"/>
              <w:left w:val="single" w:color="auto" w:sz="4" w:space="0"/>
              <w:bottom w:val="single" w:color="auto" w:sz="4" w:space="0"/>
              <w:right w:val="single" w:color="auto" w:sz="4" w:space="0"/>
            </w:tcBorders>
            <w:noWrap w:val="0"/>
            <w:vAlign w:val="center"/>
          </w:tcPr>
          <w:p w14:paraId="69D3F7E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随着数字经济的蓬勃发展，电子商务已成为驱动区域经济增长的重要引擎。然而，海量、跨地域、隐蔽性强的线上知识产权侵权行为，成为困扰电商企业创新发展和区域营商环境优化的痛点难点。此类侵权案件普遍存在“发现难、固证难、处置慢、成本高”的共性特征，传统的维权模式难以有效应对，亟需探索更高效的维权新路径。</w:t>
            </w:r>
          </w:p>
          <w:p w14:paraId="46E85DD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在此背景下，花都区市场监督管理局依托国家知识产权局“知识产权纠纷快速处理试点区”建设契机，以辖区头部电商企业“一只鱼网络科技（广州）有限公司”遭遇的大规模商标假冒、版权盗用、防伪码伪造等典型侵权案件为切入点，率先破题。区局联合广州花都（皮革皮具）知识产权快速维权中心，创新构建“固定证据—平台协查—线下溯源—后续防控”四步高效处理模式，通过专班统筹、数据赋能、协同联动探索出一条应对海量电商侵权案件的新路径，为数字经济时代知识产权保护提供可复制、可推广的“花都方案”。</w:t>
            </w:r>
          </w:p>
        </w:tc>
      </w:tr>
      <w:tr w14:paraId="69825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308" w:type="dxa"/>
            <w:tcBorders>
              <w:top w:val="single" w:color="auto" w:sz="4" w:space="0"/>
              <w:left w:val="single" w:color="auto" w:sz="4" w:space="0"/>
              <w:bottom w:val="single" w:color="auto" w:sz="4" w:space="0"/>
              <w:right w:val="single" w:color="auto" w:sz="4" w:space="0"/>
            </w:tcBorders>
            <w:noWrap w:val="0"/>
            <w:vAlign w:val="center"/>
          </w:tcPr>
          <w:p w14:paraId="57DF219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服务成效</w:t>
            </w:r>
          </w:p>
        </w:tc>
        <w:tc>
          <w:tcPr>
            <w:tcW w:w="7305" w:type="dxa"/>
            <w:tcBorders>
              <w:top w:val="single" w:color="auto" w:sz="4" w:space="0"/>
              <w:left w:val="single" w:color="auto" w:sz="4" w:space="0"/>
              <w:bottom w:val="single" w:color="auto" w:sz="4" w:space="0"/>
              <w:right w:val="single" w:color="auto" w:sz="4" w:space="0"/>
            </w:tcBorders>
            <w:noWrap w:val="0"/>
            <w:vAlign w:val="top"/>
          </w:tcPr>
          <w:p w14:paraId="2332EEB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花都区电商知识产权侵权高效处理模式成效显著，重构电商知识产权治理范式，将传统“事后被动处置”转变为“事中迅速阻断+事前风险防控”的主动防护体系，深度运用大数据模型、平台接口、区块链存证等技术，提升证据固定、线索锁定、精准执法的效率与效能。通过线上快速阻断与线下精准打击相结合，经第三方评估，为企业挽回直接经济损失约1100万元。</w:t>
            </w:r>
          </w:p>
          <w:p w14:paraId="14E6CD2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花都区创新“固定证据—平台协查—线下溯源—后续防控”四步高效处理路径，为应对海量、跨域电商侵权案件提供了可复制、可推广的“花都方案”。该模式的成功实践，有效维护市场秩序，显著增强了市场主体信心，为粤港澳大湾区乃至全国电商产业知识产权保护与营商环境优化贡献了“花都智慧”。</w:t>
            </w:r>
          </w:p>
        </w:tc>
      </w:tr>
    </w:tbl>
    <w:p w14:paraId="7890C3DA">
      <w:pPr>
        <w:rPr>
          <w:rFonts w:hint="eastAsia" w:ascii="Times New Roman" w:hAnsi="Times New Roman" w:eastAsia="方正仿宋_GBK" w:cs="Times New Roman"/>
          <w:b/>
          <w:kern w:val="2"/>
          <w:sz w:val="28"/>
          <w:szCs w:val="22"/>
        </w:rPr>
      </w:pPr>
      <w:r>
        <w:rPr>
          <w:rFonts w:hint="eastAsia" w:ascii="Times New Roman" w:hAnsi="Times New Roman" w:eastAsia="方正仿宋_GBK" w:cs="Times New Roman"/>
          <w:b/>
          <w:kern w:val="2"/>
          <w:sz w:val="28"/>
          <w:szCs w:val="22"/>
        </w:rPr>
        <w:br w:type="page"/>
      </w:r>
    </w:p>
    <w:p w14:paraId="363FB551">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textAlignment w:val="auto"/>
        <w:outlineLvl w:val="0"/>
        <w:rPr>
          <w:rFonts w:hint="eastAsia" w:ascii="Times New Roman" w:hAnsi="Times New Roman" w:eastAsia="方正仿宋_GBK" w:cs="Times New Roman"/>
          <w:b/>
          <w:kern w:val="2"/>
          <w:sz w:val="28"/>
          <w:szCs w:val="22"/>
        </w:rPr>
      </w:pPr>
      <w:r>
        <w:rPr>
          <w:rFonts w:hint="eastAsia" w:ascii="Times New Roman" w:hAnsi="Times New Roman" w:eastAsia="方正仿宋_GBK" w:cs="Times New Roman"/>
          <w:b/>
          <w:kern w:val="2"/>
          <w:sz w:val="28"/>
          <w:szCs w:val="22"/>
        </w:rPr>
        <w:t>案例7：专利导航与知识产权分析评议助力龙头企业提升产业核心竞争力</w:t>
      </w:r>
    </w:p>
    <w:tbl>
      <w:tblPr>
        <w:tblStyle w:val="4"/>
        <w:tblW w:w="8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8"/>
        <w:gridCol w:w="7258"/>
      </w:tblGrid>
      <w:tr w14:paraId="54C92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1AF453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报送单位</w:t>
            </w:r>
          </w:p>
        </w:tc>
        <w:tc>
          <w:tcPr>
            <w:tcW w:w="7258" w:type="dxa"/>
            <w:tcBorders>
              <w:top w:val="single" w:color="auto" w:sz="4" w:space="0"/>
              <w:left w:val="single" w:color="auto" w:sz="4" w:space="0"/>
              <w:bottom w:val="single" w:color="auto" w:sz="4" w:space="0"/>
              <w:right w:val="single" w:color="auto" w:sz="4" w:space="0"/>
            </w:tcBorders>
            <w:noWrap w:val="0"/>
            <w:vAlign w:val="center"/>
          </w:tcPr>
          <w:p w14:paraId="7EABF27C">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广东省科技图书馆（广东省科学院信息研究所）</w:t>
            </w:r>
          </w:p>
        </w:tc>
      </w:tr>
      <w:tr w14:paraId="42472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27A6D29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企业名称</w:t>
            </w:r>
          </w:p>
        </w:tc>
        <w:tc>
          <w:tcPr>
            <w:tcW w:w="7258" w:type="dxa"/>
            <w:tcBorders>
              <w:top w:val="single" w:color="auto" w:sz="4" w:space="0"/>
              <w:left w:val="single" w:color="auto" w:sz="4" w:space="0"/>
              <w:bottom w:val="single" w:color="auto" w:sz="4" w:space="0"/>
              <w:right w:val="single" w:color="auto" w:sz="4" w:space="0"/>
            </w:tcBorders>
            <w:noWrap w:val="0"/>
            <w:vAlign w:val="center"/>
          </w:tcPr>
          <w:p w14:paraId="0D4D3D7A">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广州白云山敬修堂药业股份有限公司</w:t>
            </w:r>
          </w:p>
        </w:tc>
      </w:tr>
      <w:tr w14:paraId="3A00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3827DA2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服务需求</w:t>
            </w:r>
          </w:p>
        </w:tc>
        <w:tc>
          <w:tcPr>
            <w:tcW w:w="7258" w:type="dxa"/>
            <w:tcBorders>
              <w:top w:val="single" w:color="auto" w:sz="4" w:space="0"/>
              <w:left w:val="single" w:color="auto" w:sz="4" w:space="0"/>
              <w:bottom w:val="single" w:color="auto" w:sz="4" w:space="0"/>
              <w:right w:val="single" w:color="auto" w:sz="4" w:space="0"/>
            </w:tcBorders>
            <w:noWrap w:val="0"/>
            <w:vAlign w:val="center"/>
          </w:tcPr>
          <w:p w14:paraId="7539717C">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生物医药领域是知识产权密集型产业，在全球范围面临着激烈的市场竞争和知识产权保护挑战。作为华南地区重要的生物医药研发企业，广州白云山敬修堂药业股份有限公司联合知识产权专业机构，聚焦国家及地方知识产权扶持政策，精准制定市场策略和产品研发路径，降低海内外专利侵权风险，提升高价值专利的培育和布局能力，增强市场竞争实力。</w:t>
            </w:r>
          </w:p>
        </w:tc>
      </w:tr>
      <w:tr w14:paraId="7D01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0A1FD2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解决方案</w:t>
            </w:r>
          </w:p>
        </w:tc>
        <w:tc>
          <w:tcPr>
            <w:tcW w:w="7258" w:type="dxa"/>
            <w:tcBorders>
              <w:top w:val="single" w:color="auto" w:sz="4" w:space="0"/>
              <w:left w:val="single" w:color="auto" w:sz="4" w:space="0"/>
              <w:bottom w:val="single" w:color="auto" w:sz="4" w:space="0"/>
              <w:right w:val="single" w:color="auto" w:sz="4" w:space="0"/>
            </w:tcBorders>
            <w:noWrap w:val="0"/>
            <w:vAlign w:val="center"/>
          </w:tcPr>
          <w:p w14:paraId="0EAE1965">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1.高价值导航+产业情报分析，助力企业掌握行业研发环境。聚焦国内外、大湾区、广东省中医药产业政策环境、产业现状、产学研合作、专利运营与转化、龙头企业情况、高价值专利等维度分析，撰写产业专利导航报告，为企业精准制定市场策略、降低专利侵权风险提供决策依据。</w:t>
            </w:r>
          </w:p>
          <w:p w14:paraId="2DE4D938">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2.湾高赛辅导+点对点咨询，助力企业新产品价值度提升。撰写专利布局与知识产权分析评议报告，助力白云山敬修堂在2025年粤港澳大湾区高价值</w:t>
            </w:r>
            <w:r>
              <w:rPr>
                <w:rFonts w:hint="eastAsia" w:eastAsia="方正仿宋_GBK" w:cs="Times New Roman"/>
                <w:kern w:val="0"/>
                <w:sz w:val="24"/>
                <w:szCs w:val="24"/>
                <w:lang w:eastAsia="zh-CN"/>
              </w:rPr>
              <w:t>知识产权培育布局</w:t>
            </w:r>
            <w:r>
              <w:rPr>
                <w:rFonts w:hint="default" w:ascii="Times New Roman" w:hAnsi="Times New Roman" w:eastAsia="方正仿宋_GBK" w:cs="Times New Roman"/>
                <w:kern w:val="0"/>
                <w:sz w:val="24"/>
                <w:szCs w:val="24"/>
              </w:rPr>
              <w:t>大赛</w:t>
            </w:r>
            <w:r>
              <w:rPr>
                <w:rFonts w:hint="eastAsia" w:eastAsia="方正仿宋_GBK" w:cs="Times New Roman"/>
                <w:kern w:val="0"/>
                <w:sz w:val="24"/>
                <w:szCs w:val="24"/>
                <w:lang w:eastAsia="zh-CN"/>
              </w:rPr>
              <w:t>中</w:t>
            </w:r>
            <w:r>
              <w:rPr>
                <w:rFonts w:hint="default" w:ascii="Times New Roman" w:hAnsi="Times New Roman" w:eastAsia="方正仿宋_GBK" w:cs="Times New Roman"/>
                <w:kern w:val="0"/>
                <w:sz w:val="24"/>
                <w:szCs w:val="24"/>
              </w:rPr>
              <w:t>成功晋级复赛。</w:t>
            </w:r>
          </w:p>
        </w:tc>
      </w:tr>
      <w:tr w14:paraId="7C869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08A7548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服务成效</w:t>
            </w:r>
          </w:p>
        </w:tc>
        <w:tc>
          <w:tcPr>
            <w:tcW w:w="7258" w:type="dxa"/>
            <w:tcBorders>
              <w:top w:val="single" w:color="auto" w:sz="4" w:space="0"/>
              <w:left w:val="single" w:color="auto" w:sz="4" w:space="0"/>
              <w:bottom w:val="single" w:color="auto" w:sz="4" w:space="0"/>
              <w:right w:val="single" w:color="auto" w:sz="4" w:space="0"/>
            </w:tcBorders>
            <w:noWrap w:val="0"/>
            <w:vAlign w:val="top"/>
          </w:tcPr>
          <w:p w14:paraId="71490AC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广东省科技图书馆（广东省科学院信息研究所）知识产权团队</w:t>
            </w:r>
            <w:r>
              <w:rPr>
                <w:rFonts w:hint="eastAsia" w:ascii="仿宋_GB2312" w:hAnsi="宋体" w:eastAsia="仿宋_GB2312" w:cs="Times New Roman"/>
                <w:kern w:val="0"/>
                <w:sz w:val="24"/>
                <w:szCs w:val="24"/>
              </w:rPr>
              <w:t>借力“惠企行动”契机，</w:t>
            </w:r>
            <w:r>
              <w:rPr>
                <w:rFonts w:hint="default" w:ascii="Times New Roman" w:hAnsi="Times New Roman" w:eastAsia="方正仿宋_GBK" w:cs="Times New Roman"/>
                <w:kern w:val="0"/>
                <w:sz w:val="24"/>
                <w:szCs w:val="24"/>
              </w:rPr>
              <w:t>与广州白云山敬修堂药业股份有限公司</w:t>
            </w:r>
            <w:r>
              <w:rPr>
                <w:rFonts w:hint="eastAsia" w:ascii="仿宋_GB2312" w:hAnsi="宋体" w:eastAsia="仿宋_GB2312" w:cs="Times New Roman"/>
                <w:kern w:val="0"/>
                <w:sz w:val="24"/>
                <w:szCs w:val="24"/>
              </w:rPr>
              <w:t>建立深度合作。通过</w:t>
            </w:r>
            <w:r>
              <w:rPr>
                <w:rFonts w:hint="default" w:ascii="Times New Roman" w:hAnsi="Times New Roman" w:eastAsia="方正仿宋_GBK" w:cs="Times New Roman"/>
                <w:kern w:val="0"/>
                <w:sz w:val="24"/>
                <w:szCs w:val="24"/>
              </w:rPr>
              <w:t>组织调研、文献梳理、环境扫描、导航评议等</w:t>
            </w:r>
            <w:r>
              <w:rPr>
                <w:rFonts w:hint="eastAsia" w:ascii="仿宋_GB2312" w:hAnsi="宋体" w:eastAsia="仿宋_GB2312" w:cs="Times New Roman"/>
                <w:kern w:val="0"/>
                <w:sz w:val="24"/>
                <w:szCs w:val="24"/>
              </w:rPr>
              <w:t>多元化服务举措，精准对接</w:t>
            </w:r>
            <w:r>
              <w:rPr>
                <w:rFonts w:hint="default" w:ascii="Times New Roman" w:hAnsi="Times New Roman" w:eastAsia="方正仿宋_GBK" w:cs="Times New Roman"/>
                <w:kern w:val="0"/>
                <w:sz w:val="24"/>
                <w:szCs w:val="24"/>
              </w:rPr>
              <w:t>白云山敬修堂</w:t>
            </w:r>
            <w:r>
              <w:rPr>
                <w:rFonts w:hint="eastAsia" w:ascii="仿宋_GB2312" w:hAnsi="宋体" w:eastAsia="仿宋_GB2312" w:cs="Times New Roman"/>
                <w:kern w:val="0"/>
                <w:sz w:val="24"/>
                <w:szCs w:val="24"/>
              </w:rPr>
              <w:t>在中医药产业领域</w:t>
            </w:r>
            <w:r>
              <w:rPr>
                <w:rFonts w:hint="default" w:ascii="Times New Roman" w:hAnsi="Times New Roman" w:eastAsia="方正仿宋_GBK" w:cs="Times New Roman"/>
                <w:kern w:val="0"/>
                <w:sz w:val="24"/>
                <w:szCs w:val="24"/>
              </w:rPr>
              <w:t>的知识产权高价值信息需求：</w:t>
            </w:r>
          </w:p>
          <w:p w14:paraId="54EE944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1）定制化产业政策与市场策略分析。知识产权团队通过深度挖掘白云山敬修堂中医药产业发展需求，围绕中医药产业政策环境、产业现状、产学研合作、专利运营与转化、龙头企业情况、高价值专利等维度进行分析，协同技术人员撰写形成《广东省中医药产业专利导航及战略布局分析报告》1份，为科研人员、知识产权管理人员和决策人员提供了重要信息参考，帮助企业精准制定和调整市场参与策略，有效降低专利侵权风险，成果得到用户好评和认可。</w:t>
            </w:r>
          </w:p>
          <w:p w14:paraId="6B1F10E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2）专业化高价值专利培育与布局。依托前期的沟通互动，知识产权团队针对白云山敬修堂核心产品——康寿丸竞争力提升需求进行挖掘，基于国家相关标准、规范和指南，深入撰写形成《名优中成药康寿丸专利布局及创新应用知识产权分析评议报告》1份。该报告从专利信息情报、产业竞争情报和市场动态情报等角度，为白云山敬修堂高价值专利培育和布局提供了有力支撑，成果助力其在2025年粤港澳大湾区高价值</w:t>
            </w:r>
            <w:r>
              <w:rPr>
                <w:rFonts w:hint="eastAsia" w:ascii="仿宋_GB2312" w:hAnsi="宋体" w:eastAsia="仿宋_GB2312" w:cs="Times New Roman"/>
                <w:kern w:val="0"/>
                <w:sz w:val="24"/>
                <w:szCs w:val="24"/>
              </w:rPr>
              <w:t>知识产权培育布局</w:t>
            </w:r>
            <w:r>
              <w:rPr>
                <w:rFonts w:hint="default" w:ascii="Times New Roman" w:hAnsi="Times New Roman" w:eastAsia="方正仿宋_GBK" w:cs="Times New Roman"/>
                <w:kern w:val="0"/>
                <w:sz w:val="24"/>
                <w:szCs w:val="24"/>
              </w:rPr>
              <w:t>大赛复赛中成功晋级，服务得到企业积极认可。服务期间，助力白云山敬修堂授权专利2件。</w:t>
            </w:r>
          </w:p>
        </w:tc>
      </w:tr>
    </w:tbl>
    <w:p w14:paraId="2E56D214">
      <w:pPr>
        <w:rPr>
          <w:rFonts w:hint="eastAsia" w:ascii="Times New Roman" w:hAnsi="Times New Roman" w:eastAsia="方正仿宋_GBK" w:cs="Times New Roman"/>
          <w:b/>
          <w:kern w:val="2"/>
          <w:sz w:val="28"/>
          <w:szCs w:val="22"/>
        </w:rPr>
      </w:pPr>
      <w:r>
        <w:rPr>
          <w:rFonts w:hint="eastAsia" w:ascii="Times New Roman" w:hAnsi="Times New Roman" w:eastAsia="方正仿宋_GBK" w:cs="Times New Roman"/>
          <w:b/>
          <w:kern w:val="2"/>
          <w:sz w:val="28"/>
          <w:szCs w:val="22"/>
        </w:rPr>
        <w:br w:type="page"/>
      </w:r>
    </w:p>
    <w:p w14:paraId="428DBC2B">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textAlignment w:val="auto"/>
        <w:outlineLvl w:val="0"/>
        <w:rPr>
          <w:rFonts w:hint="eastAsia" w:ascii="Times New Roman" w:hAnsi="Times New Roman" w:eastAsia="方正仿宋_GBK" w:cs="Times New Roman"/>
          <w:b/>
          <w:kern w:val="2"/>
          <w:sz w:val="28"/>
          <w:szCs w:val="22"/>
        </w:rPr>
      </w:pPr>
      <w:r>
        <w:rPr>
          <w:rFonts w:hint="eastAsia" w:ascii="Times New Roman" w:hAnsi="Times New Roman" w:eastAsia="方正仿宋_GBK" w:cs="Times New Roman"/>
          <w:b/>
          <w:kern w:val="2"/>
          <w:sz w:val="28"/>
          <w:szCs w:val="22"/>
        </w:rPr>
        <w:t>案例8：以“全链路嵌入式供需服务”助力专利高效转化运用</w:t>
      </w:r>
    </w:p>
    <w:tbl>
      <w:tblPr>
        <w:tblStyle w:val="4"/>
        <w:tblW w:w="8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8"/>
        <w:gridCol w:w="7298"/>
      </w:tblGrid>
      <w:tr w14:paraId="78A9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5C3BFB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报送单位</w:t>
            </w:r>
          </w:p>
        </w:tc>
        <w:tc>
          <w:tcPr>
            <w:tcW w:w="7298" w:type="dxa"/>
            <w:tcBorders>
              <w:top w:val="single" w:color="auto" w:sz="4" w:space="0"/>
              <w:left w:val="single" w:color="auto" w:sz="4" w:space="0"/>
              <w:bottom w:val="single" w:color="auto" w:sz="4" w:space="0"/>
              <w:right w:val="single" w:color="auto" w:sz="4" w:space="0"/>
            </w:tcBorders>
            <w:noWrap w:val="0"/>
            <w:vAlign w:val="center"/>
          </w:tcPr>
          <w:p w14:paraId="363A4FC9">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华进联合专利商标代理有限公司</w:t>
            </w:r>
          </w:p>
        </w:tc>
      </w:tr>
      <w:tr w14:paraId="6D123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06F597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服务对象</w:t>
            </w:r>
          </w:p>
        </w:tc>
        <w:tc>
          <w:tcPr>
            <w:tcW w:w="7298" w:type="dxa"/>
            <w:tcBorders>
              <w:top w:val="single" w:color="auto" w:sz="4" w:space="0"/>
              <w:left w:val="single" w:color="auto" w:sz="4" w:space="0"/>
              <w:bottom w:val="single" w:color="auto" w:sz="4" w:space="0"/>
              <w:right w:val="single" w:color="auto" w:sz="4" w:space="0"/>
            </w:tcBorders>
            <w:noWrap w:val="0"/>
            <w:vAlign w:val="center"/>
          </w:tcPr>
          <w:p w14:paraId="244EE696">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华南理工大学</w:t>
            </w:r>
          </w:p>
        </w:tc>
      </w:tr>
      <w:tr w14:paraId="14A75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582AC0F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服务需求</w:t>
            </w:r>
          </w:p>
        </w:tc>
        <w:tc>
          <w:tcPr>
            <w:tcW w:w="7298" w:type="dxa"/>
            <w:tcBorders>
              <w:top w:val="single" w:color="auto" w:sz="4" w:space="0"/>
              <w:left w:val="single" w:color="auto" w:sz="4" w:space="0"/>
              <w:bottom w:val="single" w:color="auto" w:sz="4" w:space="0"/>
              <w:right w:val="single" w:color="auto" w:sz="4" w:space="0"/>
            </w:tcBorders>
            <w:noWrap w:val="0"/>
            <w:vAlign w:val="center"/>
          </w:tcPr>
          <w:p w14:paraId="1085BAA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需要解决企业、高校、服务机构协作松散，转化环节易断裂，以及专利信息供需双方存在合作顾虑等问题。</w:t>
            </w:r>
          </w:p>
        </w:tc>
      </w:tr>
      <w:tr w14:paraId="58379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44D023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解决方案</w:t>
            </w:r>
          </w:p>
        </w:tc>
        <w:tc>
          <w:tcPr>
            <w:tcW w:w="7298" w:type="dxa"/>
            <w:tcBorders>
              <w:top w:val="single" w:color="auto" w:sz="4" w:space="0"/>
              <w:left w:val="single" w:color="auto" w:sz="4" w:space="0"/>
              <w:bottom w:val="single" w:color="auto" w:sz="4" w:space="0"/>
              <w:right w:val="single" w:color="auto" w:sz="4" w:space="0"/>
            </w:tcBorders>
            <w:noWrap w:val="0"/>
            <w:vAlign w:val="center"/>
          </w:tcPr>
          <w:p w14:paraId="29DEC2C5">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以“全链路嵌入式供需服务”模式解决了专利转化过程中的系统性、连续性和协同性问题。通过前端需求嵌入、中端服务嵌入、后端生态嵌入等服务，落实并探索专利转化运用长效机制。</w:t>
            </w:r>
          </w:p>
        </w:tc>
      </w:tr>
      <w:tr w14:paraId="73CC3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5"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4961AE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服务成效</w:t>
            </w:r>
          </w:p>
        </w:tc>
        <w:tc>
          <w:tcPr>
            <w:tcW w:w="7298" w:type="dxa"/>
            <w:tcBorders>
              <w:top w:val="single" w:color="auto" w:sz="4" w:space="0"/>
              <w:left w:val="single" w:color="auto" w:sz="4" w:space="0"/>
              <w:bottom w:val="single" w:color="auto" w:sz="4" w:space="0"/>
              <w:right w:val="single" w:color="auto" w:sz="4" w:space="0"/>
            </w:tcBorders>
            <w:noWrap w:val="0"/>
            <w:vAlign w:val="top"/>
          </w:tcPr>
          <w:p w14:paraId="5C58A13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华进公司提供的“全链路嵌入式供需服务”的核心是通过深度参与创新全生命周期，实现专利转化效能的系统性提升。即通过前端需求嵌入（建立“多维匹配+平台联动”的特色运营模式）、中端服务嵌入（重点开展供需数据挖掘和匹配服务以及构建“两会联动”精准对接机制）、后端生态嵌入（构建“智能监测-多维评估-动态优化”的闭环跟踪体系）等工作实施“全链路嵌入式供需服务”，一方面成功推广专利“先使用后付费”的创新做法，收集、发布华南理工大学一批“先使用后付费”专利，并进一步组织专利转化供需对接会系列活动数</w:t>
            </w:r>
            <w:r>
              <w:rPr>
                <w:rFonts w:hint="eastAsia" w:eastAsia="方正仿宋_GBK" w:cs="Times New Roman"/>
                <w:kern w:val="0"/>
                <w:sz w:val="24"/>
                <w:szCs w:val="24"/>
                <w:lang w:val="en-US" w:eastAsia="zh-CN"/>
              </w:rPr>
              <w:t>10</w:t>
            </w:r>
            <w:r>
              <w:rPr>
                <w:rFonts w:hint="default" w:ascii="Times New Roman" w:hAnsi="Times New Roman" w:eastAsia="方正仿宋_GBK" w:cs="Times New Roman"/>
                <w:kern w:val="0"/>
                <w:sz w:val="24"/>
                <w:szCs w:val="24"/>
              </w:rPr>
              <w:t>场，促进专利许可37件，惠及产业领域内的多家企业；另一方面，推动华南理工大学109件质量高、市场前景好的存量专利，以开放许可的方式实施转化，验证了“精准筛选-免费许可-生态协同”三位一体的转化模式。与此同时，此“需求对接+数据挖掘+先用后转”模式为知识产权服务机构开展专利转化服务提供了可参考的解决方案，其核心启示和借鉴可归纳为设计合理的供需双方合作机制和服务机构的专业化能力建设，即“从被动记录者升级为主动优化者”。</w:t>
            </w:r>
          </w:p>
        </w:tc>
      </w:tr>
    </w:tbl>
    <w:p w14:paraId="2BA2FB2E">
      <w:pPr>
        <w:rPr>
          <w:rFonts w:hint="eastAsia" w:ascii="Times New Roman" w:hAnsi="Times New Roman" w:eastAsia="方正仿宋_GBK" w:cs="Times New Roman"/>
          <w:b/>
          <w:kern w:val="2"/>
          <w:sz w:val="28"/>
          <w:szCs w:val="22"/>
        </w:rPr>
      </w:pPr>
      <w:r>
        <w:rPr>
          <w:rFonts w:hint="eastAsia" w:ascii="Times New Roman" w:hAnsi="Times New Roman" w:eastAsia="方正仿宋_GBK" w:cs="Times New Roman"/>
          <w:b/>
          <w:kern w:val="2"/>
          <w:sz w:val="28"/>
          <w:szCs w:val="22"/>
        </w:rPr>
        <w:br w:type="page"/>
      </w:r>
    </w:p>
    <w:p w14:paraId="49546C87">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textAlignment w:val="auto"/>
        <w:outlineLvl w:val="0"/>
        <w:rPr>
          <w:rFonts w:hint="eastAsia" w:ascii="Times New Roman" w:hAnsi="Times New Roman" w:eastAsia="方正仿宋_GBK" w:cs="Times New Roman"/>
          <w:b/>
          <w:kern w:val="2"/>
          <w:sz w:val="28"/>
          <w:szCs w:val="22"/>
        </w:rPr>
      </w:pPr>
      <w:r>
        <w:rPr>
          <w:rFonts w:hint="eastAsia" w:ascii="Times New Roman" w:hAnsi="Times New Roman" w:eastAsia="方正仿宋_GBK" w:cs="Times New Roman"/>
          <w:b/>
          <w:kern w:val="2"/>
          <w:sz w:val="28"/>
          <w:szCs w:val="22"/>
        </w:rPr>
        <w:t>案例9：知识产权网络托管平台助力企业创新发展</w:t>
      </w:r>
    </w:p>
    <w:tbl>
      <w:tblPr>
        <w:tblStyle w:val="4"/>
        <w:tblW w:w="86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8"/>
        <w:gridCol w:w="7318"/>
      </w:tblGrid>
      <w:tr w14:paraId="36723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1081DD9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报送单位</w:t>
            </w:r>
          </w:p>
        </w:tc>
        <w:tc>
          <w:tcPr>
            <w:tcW w:w="7318" w:type="dxa"/>
            <w:tcBorders>
              <w:top w:val="single" w:color="auto" w:sz="4" w:space="0"/>
              <w:left w:val="single" w:color="auto" w:sz="4" w:space="0"/>
              <w:bottom w:val="single" w:color="auto" w:sz="4" w:space="0"/>
              <w:right w:val="single" w:color="auto" w:sz="4" w:space="0"/>
            </w:tcBorders>
            <w:noWrap w:val="0"/>
            <w:vAlign w:val="center"/>
          </w:tcPr>
          <w:p w14:paraId="11432526">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广州微斗专利代理有限公司</w:t>
            </w:r>
          </w:p>
        </w:tc>
      </w:tr>
      <w:tr w14:paraId="0FA3E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7A06A0D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企业名称</w:t>
            </w:r>
          </w:p>
        </w:tc>
        <w:tc>
          <w:tcPr>
            <w:tcW w:w="7318" w:type="dxa"/>
            <w:tcBorders>
              <w:top w:val="single" w:color="auto" w:sz="4" w:space="0"/>
              <w:left w:val="single" w:color="auto" w:sz="4" w:space="0"/>
              <w:bottom w:val="single" w:color="auto" w:sz="4" w:space="0"/>
              <w:right w:val="single" w:color="auto" w:sz="4" w:space="0"/>
            </w:tcBorders>
            <w:noWrap w:val="0"/>
            <w:vAlign w:val="center"/>
          </w:tcPr>
          <w:p w14:paraId="3BA84106">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广州泽亨实业有限公司、广州致远新材料科技有限公司、广州市敏嘉制造技术有限公司等</w:t>
            </w:r>
          </w:p>
        </w:tc>
      </w:tr>
      <w:tr w14:paraId="4ADC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0BD6BAA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服务需求</w:t>
            </w:r>
          </w:p>
        </w:tc>
        <w:tc>
          <w:tcPr>
            <w:tcW w:w="7318" w:type="dxa"/>
            <w:tcBorders>
              <w:top w:val="single" w:color="auto" w:sz="4" w:space="0"/>
              <w:left w:val="single" w:color="auto" w:sz="4" w:space="0"/>
              <w:bottom w:val="single" w:color="auto" w:sz="4" w:space="0"/>
              <w:right w:val="single" w:color="auto" w:sz="4" w:space="0"/>
            </w:tcBorders>
            <w:noWrap w:val="0"/>
            <w:vAlign w:val="center"/>
          </w:tcPr>
          <w:p w14:paraId="794A786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根据惠企行动中征集的广州泽亨实业有限公司、广州致远新材料科技有限公司及广州市敏嘉制造技术有限公司三家企业的需求，在知识产权领域企业普遍面临管理工具缺失、运营难度大、成本高等问题，导致知识产权无法得到有效管理与运营，创新成果难以获得充分保护，进而削弱了企业对知识产权的信心与创新驱动力。</w:t>
            </w:r>
          </w:p>
        </w:tc>
      </w:tr>
      <w:tr w14:paraId="703D7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23760CA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解决方案</w:t>
            </w:r>
          </w:p>
        </w:tc>
        <w:tc>
          <w:tcPr>
            <w:tcW w:w="7318" w:type="dxa"/>
            <w:tcBorders>
              <w:top w:val="single" w:color="auto" w:sz="4" w:space="0"/>
              <w:left w:val="single" w:color="auto" w:sz="4" w:space="0"/>
              <w:bottom w:val="single" w:color="auto" w:sz="4" w:space="0"/>
              <w:right w:val="single" w:color="auto" w:sz="4" w:space="0"/>
            </w:tcBorders>
            <w:noWrap w:val="0"/>
            <w:vAlign w:val="center"/>
          </w:tcPr>
          <w:p w14:paraId="49B8A531">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针对这些痛点，作为广州市知识产权公共服务网点，通过“知识谷”知识产权网络托管平台的两大核心服务，为意向企业以及广州市中小企业提供公益性的免费专利网络托管服务。</w:t>
            </w:r>
          </w:p>
        </w:tc>
      </w:tr>
      <w:tr w14:paraId="5E40A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1E632CF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服务成效</w:t>
            </w:r>
          </w:p>
        </w:tc>
        <w:tc>
          <w:tcPr>
            <w:tcW w:w="7318" w:type="dxa"/>
            <w:tcBorders>
              <w:top w:val="single" w:color="auto" w:sz="4" w:space="0"/>
              <w:left w:val="single" w:color="auto" w:sz="4" w:space="0"/>
              <w:bottom w:val="single" w:color="auto" w:sz="4" w:space="0"/>
              <w:right w:val="single" w:color="auto" w:sz="4" w:space="0"/>
            </w:tcBorders>
            <w:noWrap w:val="0"/>
            <w:vAlign w:val="top"/>
          </w:tcPr>
          <w:p w14:paraId="0F253FEC">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1.专利数据自动导入与更新：登录平台，输入企业名下知识产权权利人名称，平台自动导入权利人名下专利商标数据，并对其专利商标状态进行实时跟踪管理。</w:t>
            </w:r>
          </w:p>
          <w:p w14:paraId="6E50EB18">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2.免费专利信息检索：平台链接国家知识产权公共运营服务平台，提供完整、准确的专利数据检索服务，覆盖中国大陆已公开专利信息。</w:t>
            </w:r>
          </w:p>
          <w:p w14:paraId="42F4551C">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3.专利数据实时统计分析：平台自动分析企业专利数据，生成分析图表，帮助企业了解知识产权现状及历史申请、授权情况。</w:t>
            </w:r>
          </w:p>
          <w:p w14:paraId="131655AF">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4.费用监控及短信提醒：平台自动监控企业专利状态，实时跟踪自身知识产权数据。同时平台开通年费缴纳短信提醒功能，帮助企业及时做出相应的付费安排，帮助企业避免因疏忽而导致的权利失效风险，以确保权利的有效性不被中断。</w:t>
            </w:r>
          </w:p>
          <w:p w14:paraId="3F7DB6DB">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5.专利文本下载：企业可通过平台查看和下载无水印专利文本。</w:t>
            </w:r>
          </w:p>
          <w:p w14:paraId="0B978413">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6.竞争对手专利监控：输入竞争对手的权利人名称，导入其名下专利数据。通过平台实时监控其专利状态变更、在线查看和下载专利文本和数据，充分了解竞争企业的知识产权，掌握竞争企业的知识产权动态。</w:t>
            </w:r>
          </w:p>
          <w:p w14:paraId="46E7317A">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7.区域专利数据库建设：通过南沙区域知识产权数据智能托管服务平台，导入并监控区域内的知识产权数据，生成可视化图表，帮助区域管理人员快速了解知识产权情况。</w:t>
            </w:r>
          </w:p>
        </w:tc>
      </w:tr>
    </w:tbl>
    <w:p w14:paraId="286D06C1">
      <w:pPr>
        <w:rPr>
          <w:rFonts w:hint="eastAsia" w:ascii="Times New Roman" w:hAnsi="Times New Roman" w:eastAsia="方正仿宋_GBK" w:cs="Times New Roman"/>
          <w:b/>
          <w:kern w:val="2"/>
          <w:sz w:val="28"/>
          <w:szCs w:val="22"/>
        </w:rPr>
      </w:pPr>
      <w:r>
        <w:rPr>
          <w:rFonts w:hint="eastAsia" w:ascii="Times New Roman" w:hAnsi="Times New Roman" w:eastAsia="方正仿宋_GBK" w:cs="Times New Roman"/>
          <w:b/>
          <w:kern w:val="2"/>
          <w:sz w:val="28"/>
          <w:szCs w:val="22"/>
        </w:rPr>
        <w:br w:type="page"/>
      </w:r>
    </w:p>
    <w:p w14:paraId="19D8A6FB">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textAlignment w:val="auto"/>
        <w:outlineLvl w:val="0"/>
        <w:rPr>
          <w:rFonts w:hint="eastAsia" w:ascii="Times New Roman" w:hAnsi="Times New Roman" w:eastAsia="方正仿宋_GBK" w:cs="Times New Roman"/>
          <w:b/>
          <w:kern w:val="2"/>
          <w:sz w:val="28"/>
          <w:szCs w:val="22"/>
        </w:rPr>
      </w:pPr>
      <w:r>
        <w:rPr>
          <w:rFonts w:hint="eastAsia" w:ascii="Times New Roman" w:hAnsi="Times New Roman" w:eastAsia="方正仿宋_GBK" w:cs="Times New Roman"/>
          <w:b/>
          <w:kern w:val="2"/>
          <w:sz w:val="28"/>
          <w:szCs w:val="22"/>
        </w:rPr>
        <w:t>案例10：专利信息运用及高价值专利培育</w:t>
      </w:r>
    </w:p>
    <w:tbl>
      <w:tblPr>
        <w:tblStyle w:val="4"/>
        <w:tblW w:w="8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8"/>
        <w:gridCol w:w="7410"/>
      </w:tblGrid>
      <w:tr w14:paraId="49D84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3EB1E39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报送单位</w:t>
            </w:r>
          </w:p>
        </w:tc>
        <w:tc>
          <w:tcPr>
            <w:tcW w:w="7410" w:type="dxa"/>
            <w:tcBorders>
              <w:top w:val="single" w:color="auto" w:sz="4" w:space="0"/>
              <w:left w:val="single" w:color="auto" w:sz="4" w:space="0"/>
              <w:bottom w:val="single" w:color="auto" w:sz="4" w:space="0"/>
              <w:right w:val="single" w:color="auto" w:sz="4" w:space="0"/>
            </w:tcBorders>
            <w:noWrap w:val="0"/>
            <w:vAlign w:val="center"/>
          </w:tcPr>
          <w:p w14:paraId="036CCC5B">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广州三环专利商标代理有限公司</w:t>
            </w:r>
          </w:p>
        </w:tc>
      </w:tr>
      <w:tr w14:paraId="67852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030F00C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企业名称</w:t>
            </w:r>
          </w:p>
        </w:tc>
        <w:tc>
          <w:tcPr>
            <w:tcW w:w="7410" w:type="dxa"/>
            <w:tcBorders>
              <w:top w:val="single" w:color="auto" w:sz="4" w:space="0"/>
              <w:left w:val="single" w:color="auto" w:sz="4" w:space="0"/>
              <w:bottom w:val="single" w:color="auto" w:sz="4" w:space="0"/>
              <w:right w:val="single" w:color="auto" w:sz="4" w:space="0"/>
            </w:tcBorders>
            <w:noWrap w:val="0"/>
            <w:vAlign w:val="center"/>
          </w:tcPr>
          <w:p w14:paraId="160EB50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中汽研汽车检验中心（广州）有限公司</w:t>
            </w:r>
          </w:p>
        </w:tc>
      </w:tr>
      <w:tr w14:paraId="4FAFC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5359E15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服务需求</w:t>
            </w:r>
          </w:p>
        </w:tc>
        <w:tc>
          <w:tcPr>
            <w:tcW w:w="7410" w:type="dxa"/>
            <w:tcBorders>
              <w:top w:val="single" w:color="auto" w:sz="4" w:space="0"/>
              <w:left w:val="single" w:color="auto" w:sz="4" w:space="0"/>
              <w:bottom w:val="single" w:color="auto" w:sz="4" w:space="0"/>
              <w:right w:val="single" w:color="auto" w:sz="4" w:space="0"/>
            </w:tcBorders>
            <w:noWrap w:val="0"/>
            <w:vAlign w:val="center"/>
          </w:tcPr>
          <w:p w14:paraId="6B40DA56">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高价值专利培育</w:t>
            </w:r>
          </w:p>
        </w:tc>
      </w:tr>
      <w:tr w14:paraId="53076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4D59E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解决方案</w:t>
            </w:r>
          </w:p>
        </w:tc>
        <w:tc>
          <w:tcPr>
            <w:tcW w:w="7410" w:type="dxa"/>
            <w:tcBorders>
              <w:top w:val="single" w:color="auto" w:sz="4" w:space="0"/>
              <w:left w:val="single" w:color="auto" w:sz="4" w:space="0"/>
              <w:bottom w:val="single" w:color="auto" w:sz="4" w:space="0"/>
              <w:right w:val="single" w:color="auto" w:sz="4" w:space="0"/>
            </w:tcBorders>
            <w:noWrap w:val="0"/>
            <w:vAlign w:val="center"/>
          </w:tcPr>
          <w:p w14:paraId="2DCD5D0C">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通过惠企行动精准匹配，为企业推送知识产权信息，邀请参与专利导航发布会，指导运用专利信息，为企业培育高价值专利组合，向企业宣讲ISO56005创新管理体系认证。</w:t>
            </w:r>
          </w:p>
        </w:tc>
      </w:tr>
      <w:tr w14:paraId="34B1D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2A990EB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黑体_GBK" w:hAnsi="方正黑体_GBK" w:eastAsia="方正黑体_GBK" w:cs="方正黑体_GBK"/>
                <w:kern w:val="0"/>
                <w:sz w:val="24"/>
                <w:szCs w:val="24"/>
              </w:rPr>
            </w:pPr>
            <w:r>
              <w:rPr>
                <w:rFonts w:hint="eastAsia" w:ascii="方正黑体_GBK" w:hAnsi="方正黑体_GBK" w:eastAsia="方正黑体_GBK" w:cs="方正黑体_GBK"/>
                <w:kern w:val="0"/>
                <w:sz w:val="24"/>
                <w:szCs w:val="24"/>
              </w:rPr>
              <w:t>服务成效</w:t>
            </w:r>
          </w:p>
        </w:tc>
        <w:tc>
          <w:tcPr>
            <w:tcW w:w="7410" w:type="dxa"/>
            <w:tcBorders>
              <w:top w:val="single" w:color="auto" w:sz="4" w:space="0"/>
              <w:left w:val="single" w:color="auto" w:sz="4" w:space="0"/>
              <w:bottom w:val="single" w:color="auto" w:sz="4" w:space="0"/>
              <w:right w:val="single" w:color="auto" w:sz="4" w:space="0"/>
            </w:tcBorders>
            <w:noWrap w:val="0"/>
            <w:vAlign w:val="top"/>
          </w:tcPr>
          <w:p w14:paraId="2460C62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三环以精准化、体系化服务为核心，围绕中汽研汽车检验中心（广州）有限公司发展需求，从需求挖掘、资源对接、能力建设多维度发力，取得显著服务成效，为企业创新发展保驾护航。</w:t>
            </w:r>
          </w:p>
          <w:p w14:paraId="1B7C32B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在需求对接与资源赋能层面，三环通过实地走访调研，精准掌握企业知识产权现状与服务需求，同时邀请企业参与《广州市增城区汽车产业专利导航分析报告》发布会。该报告涵盖产业背景、全球及地方产业现状、专利趋势与构成等多维度内容，为企业洞悉产业方向、优化发展策略提供了权威决策参考，助力企业精准把握市场机遇。</w:t>
            </w:r>
          </w:p>
          <w:p w14:paraId="5080111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在高价值专利培育领域，依托增城经济技术开发区国家重点园区知识产权运营中心项目，结合广东省地方标准《高价值专利培育布局工作指南》，三环针对增城区“车”“显”“芯”等重点产业特点，构建适配的高价值专利培育模式与决策制度。为企业量身定制高价值专利培育方案，围绕现代汽车产业核心检测技术领域精准布局，成功培育包含6件发明专利的高价值专利组合，显著提升企业核心技术专利竞争力。</w:t>
            </w:r>
          </w:p>
          <w:p w14:paraId="37F50B2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方正仿宋_GBK" w:cs="Times New Roman"/>
                <w:kern w:val="0"/>
                <w:sz w:val="24"/>
                <w:szCs w:val="24"/>
              </w:rPr>
            </w:pPr>
            <w:r>
              <w:rPr>
                <w:rFonts w:hint="default" w:ascii="Times New Roman" w:hAnsi="Times New Roman" w:eastAsia="方正仿宋_GBK" w:cs="Times New Roman"/>
                <w:kern w:val="0"/>
                <w:sz w:val="24"/>
                <w:szCs w:val="24"/>
              </w:rPr>
              <w:t>在体系建设与能力提升方面，三环积极向企业宣讲ISO 56005创新管理体系认证，全面评估企业创新与知识产权管理体系建设情况，并协助完成创新与知识产权管理能力分级评价服务系统注册，为企业规范管理流程、提升体系化运营能力奠定坚实基础。</w:t>
            </w:r>
          </w:p>
        </w:tc>
      </w:tr>
    </w:tbl>
    <w:p w14:paraId="2666535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4C66B5"/>
    <w:rsid w:val="0A4C66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Lines="0" w:beforeAutospacing="1" w:after="100" w:afterLines="0" w:afterAutospacing="1"/>
      <w:jc w:val="left"/>
    </w:pPr>
    <w:rPr>
      <w:rFonts w:ascii="宋体" w:hAnsi="宋体" w:eastAsia="宋体"/>
      <w:kern w:val="0"/>
      <w:sz w:val="24"/>
    </w:rPr>
  </w:style>
  <w:style w:type="table" w:styleId="4">
    <w:name w:val="Table Grid"/>
    <w:basedOn w:val="3"/>
    <w:unhideWhenUsed/>
    <w:qFormat/>
    <w:uiPriority w:val="99"/>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2026-04-15T03:40:00Z</dcterms:created>
  <dc:creator>叶菲</dc:creator>
  <cp:lastModifiedBy>叶菲</cp:lastModifiedBy>
  <dcterms:modified xsi:type="dcterms:W3CDTF">2026-04-15T03:46:28Z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E6D7ED0B78FD422199BD2526727118BA_11</vt:lpwstr>
  </property>
  <property fmtid="{D5CDD505-2E9C-101B-9397-08002B2CF9AE}" pid="4" name="KSOTemplateDocerSaveRecord">
    <vt:lpwstr>eyJoZGlkIjoiNzY3ZDhhMTNlYjdhYzYwN2ZlZjg0OTA4NGExOTcxNjAiLCJ1c2VySWQiOiIyODMyODk2OTAifQ==</vt:lpwstr>
  </property>
</Properties>
</file>