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05E911">
      <w:pPr>
        <w:pStyle w:val="2"/>
        <w:shd w:val="clear" w:color="auto" w:fill="FFFFFF"/>
        <w:spacing w:before="0" w:beforeAutospacing="0" w:after="0" w:afterAutospacing="0"/>
        <w:rPr>
          <w:rFonts w:hint="eastAsia" w:ascii="方正黑体_GBK" w:hAnsi="方正黑体_GBK" w:eastAsia="方正黑体_GBK" w:cs="方正黑体_GBK"/>
          <w:kern w:val="2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kern w:val="2"/>
          <w:sz w:val="32"/>
          <w:szCs w:val="32"/>
        </w:rPr>
        <w:t>附件1</w:t>
      </w:r>
    </w:p>
    <w:p w14:paraId="79657E70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kern w:val="2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kern w:val="2"/>
          <w:sz w:val="44"/>
          <w:szCs w:val="44"/>
        </w:rPr>
        <w:t>2025年度广州市知识产权公共服务</w:t>
      </w:r>
    </w:p>
    <w:p w14:paraId="529CBDB8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kern w:val="2"/>
          <w:sz w:val="44"/>
          <w:szCs w:val="44"/>
        </w:rPr>
        <w:t>惠企行动优秀案例清单</w:t>
      </w:r>
    </w:p>
    <w:bookmarkEnd w:id="0"/>
    <w:p w14:paraId="66E1445C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kern w:val="2"/>
          <w:sz w:val="44"/>
          <w:szCs w:val="44"/>
        </w:rPr>
      </w:pPr>
    </w:p>
    <w:tbl>
      <w:tblPr>
        <w:tblStyle w:val="3"/>
        <w:tblW w:w="931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63"/>
        <w:gridCol w:w="5547"/>
      </w:tblGrid>
      <w:tr w14:paraId="44B139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3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F8F42C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8"/>
                <w:szCs w:val="28"/>
              </w:rPr>
              <w:t>报送单位</w:t>
            </w:r>
          </w:p>
        </w:tc>
        <w:tc>
          <w:tcPr>
            <w:tcW w:w="55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C108A84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8"/>
                <w:szCs w:val="28"/>
              </w:rPr>
              <w:t>案例名称</w:t>
            </w:r>
          </w:p>
        </w:tc>
      </w:tr>
      <w:tr w14:paraId="565A09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3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59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广州市越秀区市场监督管理局（知识产权局）</w:t>
            </w:r>
          </w:p>
        </w:tc>
        <w:tc>
          <w:tcPr>
            <w:tcW w:w="5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CF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越秀区构建立体化海外知识产权服务工作格局护航企业扬帆出海</w:t>
            </w:r>
          </w:p>
        </w:tc>
      </w:tr>
      <w:tr w14:paraId="443706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37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511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广州市海珠区市场监督管理局（知识产权局）</w:t>
            </w:r>
          </w:p>
        </w:tc>
        <w:tc>
          <w:tcPr>
            <w:tcW w:w="55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C6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展位特装设计纠纷调解案</w:t>
            </w:r>
          </w:p>
        </w:tc>
      </w:tr>
      <w:tr w14:paraId="05D269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37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F3E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广州市白云区市场监督管理局（知识产权局）</w:t>
            </w:r>
          </w:p>
        </w:tc>
        <w:tc>
          <w:tcPr>
            <w:tcW w:w="55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EB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白云区首宗数据知识产权交易</w:t>
            </w:r>
          </w:p>
        </w:tc>
      </w:tr>
      <w:tr w14:paraId="555D0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37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9F0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广州市番禺区市场监督管理局（知识产权局）</w:t>
            </w:r>
          </w:p>
        </w:tc>
        <w:tc>
          <w:tcPr>
            <w:tcW w:w="55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CF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建设番禺区企业园区知识产权工作站，打造“一站式、全链条”知识产权服务平台</w:t>
            </w:r>
          </w:p>
        </w:tc>
      </w:tr>
      <w:tr w14:paraId="52D47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37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47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广州市南沙区市场监督管理局（知识产权局）</w:t>
            </w:r>
          </w:p>
        </w:tc>
        <w:tc>
          <w:tcPr>
            <w:tcW w:w="55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BD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商标业务精准对接服务</w:t>
            </w:r>
          </w:p>
        </w:tc>
      </w:tr>
      <w:tr w14:paraId="0F386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37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BE5A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广州市花都区市场监督管理局（知识产权局）</w:t>
            </w:r>
          </w:p>
        </w:tc>
        <w:tc>
          <w:tcPr>
            <w:tcW w:w="55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E8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四步路径，打造花都电商知识产权侵权高效处理模式</w:t>
            </w:r>
          </w:p>
        </w:tc>
      </w:tr>
      <w:tr w14:paraId="486C3F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37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402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广东省科技图书馆</w:t>
            </w:r>
          </w:p>
          <w:p w14:paraId="58A57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（广东省科学院信息研究所）</w:t>
            </w:r>
          </w:p>
        </w:tc>
        <w:tc>
          <w:tcPr>
            <w:tcW w:w="5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E2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专利导航与知识产权分析评议</w:t>
            </w:r>
            <w:r>
              <w:rPr>
                <w:rFonts w:hint="eastAsia" w:eastAsia="方正仿宋_GBK" w:cs="Times New Roman"/>
                <w:color w:val="000000"/>
                <w:sz w:val="28"/>
                <w:szCs w:val="28"/>
                <w:lang w:eastAsia="zh-CN"/>
              </w:rPr>
              <w:t>助力龙头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企业提升产业核心竞争力</w:t>
            </w:r>
          </w:p>
        </w:tc>
      </w:tr>
      <w:tr w14:paraId="642DB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37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9B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华进联合专利商标代理有限公司</w:t>
            </w:r>
          </w:p>
        </w:tc>
        <w:tc>
          <w:tcPr>
            <w:tcW w:w="5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5E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以“全链路嵌入式供需服务”助力专利高效转化运用</w:t>
            </w:r>
          </w:p>
        </w:tc>
      </w:tr>
      <w:tr w14:paraId="755C5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37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789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广州微斗专利代理有限公司</w:t>
            </w:r>
          </w:p>
        </w:tc>
        <w:tc>
          <w:tcPr>
            <w:tcW w:w="5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E8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知识产权网络托管平台助力企业创新发展</w:t>
            </w:r>
          </w:p>
        </w:tc>
      </w:tr>
      <w:tr w14:paraId="1D864A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37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9E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广州三环专利商标代理有限公司</w:t>
            </w:r>
          </w:p>
        </w:tc>
        <w:tc>
          <w:tcPr>
            <w:tcW w:w="5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93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专利信息运用及高价值专利培育</w:t>
            </w:r>
          </w:p>
        </w:tc>
      </w:tr>
    </w:tbl>
    <w:p w14:paraId="3D96A6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B85D79"/>
    <w:rsid w:val="71B8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2026-04-15T03:39:00Z</dcterms:created>
  <dc:creator>叶菲</dc:creator>
  <cp:lastModifiedBy>叶菲</cp:lastModifiedBy>
  <dcterms:modified xsi:type="dcterms:W3CDTF">2026-04-15T03:39:36Z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9D0D633892A3480C92FDE1E9436E56B5_11</vt:lpwstr>
  </property>
  <property fmtid="{D5CDD505-2E9C-101B-9397-08002B2CF9AE}" pid="4" name="KSOTemplateDocerSaveRecord">
    <vt:lpwstr>eyJoZGlkIjoiNzY3ZDhhMTNlYjdhYzYwN2ZlZjg0OTA4NGExOTcxNjAiLCJ1c2VySWQiOiIyODMyODk2OTAifQ==</vt:lpwstr>
  </property>
</Properties>
</file>